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0D3E9" w14:textId="7C866FD5" w:rsidR="003709CF" w:rsidRPr="006730D5" w:rsidRDefault="00A42202" w:rsidP="00D32957">
      <w:pPr>
        <w:pStyle w:val="NoSpacing"/>
        <w:jc w:val="center"/>
        <w:rPr>
          <w:rFonts w:ascii="Times New Roman" w:hAnsi="Times New Roman"/>
          <w:b/>
          <w:sz w:val="32"/>
          <w:szCs w:val="32"/>
        </w:rPr>
      </w:pPr>
      <w:r w:rsidRPr="006730D5">
        <w:rPr>
          <w:rFonts w:ascii="Times New Roman" w:hAnsi="Times New Roman"/>
          <w:b/>
          <w:noProof/>
          <w:sz w:val="32"/>
          <w:szCs w:val="32"/>
          <w:lang w:val="en-GB" w:eastAsia="en-GB"/>
        </w:rPr>
        <w:drawing>
          <wp:anchor distT="0" distB="0" distL="114300" distR="114300" simplePos="0" relativeHeight="251658240" behindDoc="1" locked="0" layoutInCell="1" allowOverlap="1" wp14:anchorId="58CA0682" wp14:editId="5968A169">
            <wp:simplePos x="0" y="0"/>
            <wp:positionH relativeFrom="column">
              <wp:posOffset>2295525</wp:posOffset>
            </wp:positionH>
            <wp:positionV relativeFrom="paragraph">
              <wp:posOffset>-742950</wp:posOffset>
            </wp:positionV>
            <wp:extent cx="1304925" cy="666750"/>
            <wp:effectExtent l="0" t="0" r="0" b="0"/>
            <wp:wrapNone/>
            <wp:docPr id="3" name="Picture 1" descr="TCUwOutline2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UwOutline268.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6730D5" w:rsidRPr="006730D5">
        <w:rPr>
          <w:rFonts w:ascii="Times New Roman" w:hAnsi="Times New Roman"/>
          <w:b/>
          <w:sz w:val="32"/>
          <w:szCs w:val="32"/>
        </w:rPr>
        <w:t>Cayuse Human Ethics Summary of Changes</w:t>
      </w:r>
      <w:r w:rsidR="00844275" w:rsidRPr="006730D5">
        <w:rPr>
          <w:rFonts w:ascii="Times New Roman" w:hAnsi="Times New Roman"/>
          <w:b/>
          <w:sz w:val="32"/>
          <w:szCs w:val="32"/>
        </w:rPr>
        <w:t xml:space="preserve"> </w:t>
      </w:r>
    </w:p>
    <w:p w14:paraId="174E39BC" w14:textId="77777777" w:rsidR="00E622BB" w:rsidRDefault="00CC2F95" w:rsidP="00A77444">
      <w:pPr>
        <w:pStyle w:val="NoSpacing"/>
        <w:rPr>
          <w:b/>
          <w:sz w:val="32"/>
          <w:szCs w:val="32"/>
        </w:rPr>
      </w:pPr>
      <w:r>
        <w:rPr>
          <w:b/>
          <w:noProof/>
          <w:sz w:val="32"/>
          <w:szCs w:val="32"/>
        </w:rPr>
        <w:tab/>
      </w:r>
      <w:r>
        <w:rPr>
          <w:b/>
          <w:noProof/>
          <w:sz w:val="32"/>
          <w:szCs w:val="32"/>
        </w:rPr>
        <w:tab/>
      </w:r>
      <w:r>
        <w:rPr>
          <w:b/>
          <w:noProof/>
          <w:sz w:val="32"/>
          <w:szCs w:val="32"/>
        </w:rPr>
        <w:tab/>
      </w:r>
      <w:r w:rsidR="00A42202">
        <w:rPr>
          <w:b/>
          <w:noProof/>
          <w:sz w:val="32"/>
          <w:szCs w:val="32"/>
          <w:lang w:val="en-GB" w:eastAsia="en-GB"/>
        </w:rPr>
        <mc:AlternateContent>
          <mc:Choice Requires="wps">
            <w:drawing>
              <wp:anchor distT="0" distB="0" distL="114300" distR="114300" simplePos="0" relativeHeight="251657216" behindDoc="0" locked="0" layoutInCell="1" allowOverlap="1" wp14:anchorId="1E052079" wp14:editId="45BB87F1">
                <wp:simplePos x="0" y="0"/>
                <wp:positionH relativeFrom="column">
                  <wp:posOffset>9525</wp:posOffset>
                </wp:positionH>
                <wp:positionV relativeFrom="paragraph">
                  <wp:posOffset>42545</wp:posOffset>
                </wp:positionV>
                <wp:extent cx="6115050" cy="0"/>
                <wp:effectExtent l="9525" t="10795" r="9525" b="177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14BEDA" id="_x0000_t32" coordsize="21600,21600" o:spt="32" o:oned="t" path="m,l21600,21600e" filled="f">
                <v:path arrowok="t" fillok="f" o:connecttype="none"/>
                <o:lock v:ext="edit" shapetype="t"/>
              </v:shapetype>
              <v:shape id="AutoShape 2" o:spid="_x0000_s1026" type="#_x0000_t32" style="position:absolute;margin-left:.75pt;margin-top:3.35pt;width:481.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vGLGwIAADwEAAAOAAAAZHJzL2Uyb0RvYy54bWysU8GO2jAQvVfqP1i5s0looBARVqsEetl2&#10;kXb7AcZ2EquJx7INAVX9944NQbvbS1WVgxlnZt68mTde3Z/6jhyFsRJUEaV3SUSEYsClaoro+8t2&#10;soiIdVRx2oESRXQWNrpff/ywGnQuptBCx4UhCKJsPugiap3TeRxb1oqe2jvQQqGzBtNTh1fTxNzQ&#10;AdH7Lp4myTwewHBtgAlr8Wt1cUbrgF/XgrmnurbCka6IkJsLpwnn3p/xekXzxlDdSnalQf+BRU+l&#10;wqI3qIo6Sg5G/gHVS2bAQu3uGPQx1LVkIvSA3aTJu26eW6pF6AWHY/VtTPb/wbJvx50hkqN2EVG0&#10;R4keDg5CZTL14xm0zTGqVDvjG2Qn9awfgf2wREHZUtWIEPxy1pib+oz4TYq/WI1F9sNX4BhDET/M&#10;6lSb3kPiFMgpSHK+SSJOjjD8OE/TWTJD5djoi2k+Jmpj3RcBPfFGEVlnqGxaV4JSKDyYNJShx0fr&#10;PC2ajwm+qoKt7Lqgf6fIgNyXvpB3Wegk995wMc2+7Aw5Ur9C4ReafBdm4KB4QGsF5Zur7ajsLjZW&#10;75THw86Qz9W67MjPZbLcLDaLbJJN55tJllTV5GFbZpP5Nv08qz5VZVmlvzy1NMtbyblQnt24r2n2&#10;d/twfTmXTbtt7G0O8Vv0MDAkO/4H0kFar+ZlL/bAzzszSo4rGoKvz8m/gdd3tF8/+vVvAAAA//8D&#10;AFBLAwQUAAYACAAAACEAPVc9xdUAAAAFAQAADwAAAGRycy9kb3ducmV2LnhtbEyOwU6EQBBE7yb+&#10;w6RNvJjdQaPIIsPGmHjyIK5+QAMtEJkewgzL+Pe2XtzjS1WqXrGPdlRHmv3g2MD1NgFF3Lh24M7A&#10;x/vzJgPlA3KLo2My8E0e9uX5WYF561Z+o+MhdEpG2OdooA9hyrX2TU8W/dZNxJJ9utliEJw73c64&#10;yrgd9U2SpNriwPLQ40RPPTVfh8UaiK8ph1hlsV55efHZVRXRVsZcXsTHB1CBYvgvw6++qEMpTrVb&#10;uPVqFL6TooH0HpSku/RWuP5jXRb61L78AQAA//8DAFBLAQItABQABgAIAAAAIQC2gziS/gAAAOEB&#10;AAATAAAAAAAAAAAAAAAAAAAAAABbQ29udGVudF9UeXBlc10ueG1sUEsBAi0AFAAGAAgAAAAhADj9&#10;If/WAAAAlAEAAAsAAAAAAAAAAAAAAAAALwEAAF9yZWxzLy5yZWxzUEsBAi0AFAAGAAgAAAAhABAy&#10;8YsbAgAAPAQAAA4AAAAAAAAAAAAAAAAALgIAAGRycy9lMm9Eb2MueG1sUEsBAi0AFAAGAAgAAAAh&#10;AD1XPcXVAAAABQEAAA8AAAAAAAAAAAAAAAAAdQQAAGRycy9kb3ducmV2LnhtbFBLBQYAAAAABAAE&#10;APMAAAB3BQAAAAA=&#10;" strokeweight="1.5pt"/>
            </w:pict>
          </mc:Fallback>
        </mc:AlternateContent>
      </w:r>
    </w:p>
    <w:p w14:paraId="331C1E7A" w14:textId="333533D8" w:rsidR="000B7EB7" w:rsidRDefault="006730D5" w:rsidP="006730D5">
      <w:pPr>
        <w:pStyle w:val="NoSpacing"/>
        <w:jc w:val="both"/>
        <w:rPr>
          <w:rFonts w:ascii="Times New Roman" w:hAnsi="Times New Roman"/>
        </w:rPr>
      </w:pPr>
      <w:r>
        <w:rPr>
          <w:rFonts w:ascii="Times New Roman" w:hAnsi="Times New Roman"/>
        </w:rPr>
        <w:t>The Office of Research of Compliance is pleased that the TCU research community</w:t>
      </w:r>
      <w:r w:rsidR="00050C73">
        <w:rPr>
          <w:rFonts w:ascii="Times New Roman" w:hAnsi="Times New Roman"/>
        </w:rPr>
        <w:t>, a vital part of our institution,</w:t>
      </w:r>
      <w:r>
        <w:rPr>
          <w:rFonts w:ascii="Times New Roman" w:hAnsi="Times New Roman"/>
        </w:rPr>
        <w:t xml:space="preserve"> has received Cayuse Human Ethics so well since its implementation in January 2022. </w:t>
      </w:r>
    </w:p>
    <w:p w14:paraId="6D8F1DDA" w14:textId="26792471" w:rsidR="006730D5" w:rsidRDefault="006730D5" w:rsidP="006730D5">
      <w:pPr>
        <w:pStyle w:val="NoSpacing"/>
        <w:jc w:val="both"/>
        <w:rPr>
          <w:rFonts w:ascii="Times New Roman" w:hAnsi="Times New Roman"/>
        </w:rPr>
      </w:pPr>
    </w:p>
    <w:p w14:paraId="1077BA6D" w14:textId="7E22D82A" w:rsidR="006730D5" w:rsidRDefault="006730D5" w:rsidP="006730D5">
      <w:pPr>
        <w:pStyle w:val="NoSpacing"/>
        <w:jc w:val="both"/>
        <w:rPr>
          <w:rFonts w:ascii="Times New Roman" w:hAnsi="Times New Roman"/>
        </w:rPr>
      </w:pPr>
      <w:r>
        <w:rPr>
          <w:rFonts w:ascii="Times New Roman" w:hAnsi="Times New Roman"/>
        </w:rPr>
        <w:t>Since its implementation, we have heard your constructive feedback and have taken all suggestions seriously</w:t>
      </w:r>
      <w:r w:rsidR="00050C73">
        <w:rPr>
          <w:rFonts w:ascii="Times New Roman" w:hAnsi="Times New Roman"/>
        </w:rPr>
        <w:t xml:space="preserve">. It is part of our mission to be a resource to facilitate human subject research on this campus. We </w:t>
      </w:r>
      <w:r w:rsidR="00C82285">
        <w:rPr>
          <w:rFonts w:ascii="Times New Roman" w:hAnsi="Times New Roman"/>
        </w:rPr>
        <w:t>ensure</w:t>
      </w:r>
      <w:r w:rsidR="00050C73">
        <w:rPr>
          <w:rFonts w:ascii="Times New Roman" w:hAnsi="Times New Roman"/>
        </w:rPr>
        <w:t xml:space="preserve"> that our electronic submission system is user-friendly and can accommodate all the outstanding research conducted</w:t>
      </w:r>
      <w:r>
        <w:rPr>
          <w:rFonts w:ascii="Times New Roman" w:hAnsi="Times New Roman"/>
        </w:rPr>
        <w:t xml:space="preserve"> a</w:t>
      </w:r>
      <w:r w:rsidR="00050C73">
        <w:rPr>
          <w:rFonts w:ascii="Times New Roman" w:hAnsi="Times New Roman"/>
        </w:rPr>
        <w:t xml:space="preserve">t TCU. </w:t>
      </w:r>
    </w:p>
    <w:p w14:paraId="17B5C437" w14:textId="1B12B259" w:rsidR="00050C73" w:rsidRDefault="00050C73" w:rsidP="006730D5">
      <w:pPr>
        <w:pStyle w:val="NoSpacing"/>
        <w:jc w:val="both"/>
        <w:rPr>
          <w:rFonts w:ascii="Times New Roman" w:hAnsi="Times New Roman"/>
        </w:rPr>
      </w:pPr>
    </w:p>
    <w:p w14:paraId="3750C1BF" w14:textId="7454CF33" w:rsidR="00050C73" w:rsidRDefault="00050C73" w:rsidP="006730D5">
      <w:pPr>
        <w:pStyle w:val="NoSpacing"/>
        <w:jc w:val="both"/>
        <w:rPr>
          <w:rFonts w:ascii="Times New Roman" w:hAnsi="Times New Roman"/>
        </w:rPr>
      </w:pPr>
      <w:r>
        <w:rPr>
          <w:rFonts w:ascii="Times New Roman" w:hAnsi="Times New Roman"/>
        </w:rPr>
        <w:t>We have made some significant changes, and this document serves as a summary of those changes so you are aware of all the changes made to serve you better</w:t>
      </w:r>
      <w:r w:rsidR="00E932DE">
        <w:rPr>
          <w:rFonts w:ascii="Times New Roman" w:hAnsi="Times New Roman"/>
        </w:rPr>
        <w:t>, confidently make the submission process a little easier, remove unnecessary questions, and ensure</w:t>
      </w:r>
      <w:r>
        <w:rPr>
          <w:rFonts w:ascii="Times New Roman" w:hAnsi="Times New Roman"/>
        </w:rPr>
        <w:t xml:space="preserve"> submissions are received with the necessary information. </w:t>
      </w:r>
    </w:p>
    <w:p w14:paraId="749DCA77" w14:textId="646D29A5" w:rsidR="0070754B" w:rsidRDefault="0070754B" w:rsidP="006730D5">
      <w:pPr>
        <w:pStyle w:val="NoSpacing"/>
        <w:jc w:val="both"/>
        <w:rPr>
          <w:rFonts w:ascii="Times New Roman" w:hAnsi="Times New Roman"/>
        </w:rPr>
      </w:pPr>
    </w:p>
    <w:p w14:paraId="4AE386DE" w14:textId="132D6D38" w:rsidR="0070754B" w:rsidRDefault="0070754B" w:rsidP="006730D5">
      <w:pPr>
        <w:pStyle w:val="NoSpacing"/>
        <w:jc w:val="both"/>
        <w:rPr>
          <w:rFonts w:ascii="Times New Roman" w:hAnsi="Times New Roman"/>
        </w:rPr>
      </w:pPr>
      <w:r>
        <w:rPr>
          <w:rFonts w:ascii="Times New Roman" w:hAnsi="Times New Roman"/>
        </w:rPr>
        <w:t xml:space="preserve">Please pay attention to any text in </w:t>
      </w:r>
      <w:r w:rsidRPr="0070754B">
        <w:rPr>
          <w:rFonts w:ascii="Times New Roman" w:hAnsi="Times New Roman"/>
          <w:color w:val="0070C0"/>
        </w:rPr>
        <w:t>blue</w:t>
      </w:r>
      <w:r>
        <w:rPr>
          <w:rFonts w:ascii="Times New Roman" w:hAnsi="Times New Roman"/>
        </w:rPr>
        <w:t xml:space="preserve">; these are hyperlinks to various areas of our website, making it easy to access guidance documents, templates, and other helpful tools. </w:t>
      </w:r>
    </w:p>
    <w:p w14:paraId="08248DA4" w14:textId="7D5A8FEF" w:rsidR="00E932DE" w:rsidRDefault="00E932DE" w:rsidP="006730D5">
      <w:pPr>
        <w:pStyle w:val="NoSpacing"/>
        <w:jc w:val="both"/>
        <w:rPr>
          <w:rFonts w:ascii="Times New Roman" w:hAnsi="Times New Roman"/>
        </w:rPr>
      </w:pPr>
    </w:p>
    <w:p w14:paraId="6BBED699" w14:textId="61661BF7" w:rsidR="00E932DE" w:rsidRDefault="00E932DE" w:rsidP="006730D5">
      <w:pPr>
        <w:pStyle w:val="NoSpacing"/>
        <w:jc w:val="both"/>
        <w:rPr>
          <w:rFonts w:ascii="Times New Roman" w:hAnsi="Times New Roman"/>
          <w:b/>
          <w:bCs/>
          <w:sz w:val="24"/>
          <w:szCs w:val="24"/>
        </w:rPr>
      </w:pPr>
      <w:r w:rsidRPr="00E932DE">
        <w:rPr>
          <w:rFonts w:ascii="Times New Roman" w:hAnsi="Times New Roman"/>
          <w:b/>
          <w:bCs/>
          <w:sz w:val="24"/>
          <w:szCs w:val="24"/>
        </w:rPr>
        <w:t>Cayuse Human Ethics Summary of Changes: Fall 2024</w:t>
      </w:r>
    </w:p>
    <w:p w14:paraId="254BB45D" w14:textId="64532142" w:rsidR="00E932DE" w:rsidRDefault="00E932DE" w:rsidP="006730D5">
      <w:pPr>
        <w:pStyle w:val="NoSpacing"/>
        <w:jc w:val="both"/>
        <w:rPr>
          <w:rFonts w:ascii="Times New Roman" w:hAnsi="Times New Roman"/>
          <w:b/>
          <w:bCs/>
          <w:sz w:val="24"/>
          <w:szCs w:val="24"/>
        </w:rPr>
      </w:pPr>
    </w:p>
    <w:p w14:paraId="642FDA22" w14:textId="70ED2E7C" w:rsidR="00E932DE" w:rsidRPr="00877850" w:rsidRDefault="00C82285" w:rsidP="006730D5">
      <w:pPr>
        <w:pStyle w:val="NoSpacing"/>
        <w:jc w:val="both"/>
        <w:rPr>
          <w:rFonts w:ascii="Times New Roman" w:hAnsi="Times New Roman"/>
        </w:rPr>
      </w:pPr>
      <w:r w:rsidRPr="00877850">
        <w:rPr>
          <w:rFonts w:ascii="Times New Roman" w:hAnsi="Times New Roman"/>
        </w:rPr>
        <w:t>Please review the introduction page of the initial application</w:t>
      </w:r>
      <w:r w:rsidR="00877850" w:rsidRPr="00877850">
        <w:rPr>
          <w:rFonts w:ascii="Times New Roman" w:hAnsi="Times New Roman"/>
        </w:rPr>
        <w:t xml:space="preserve">. </w:t>
      </w:r>
      <w:r w:rsidR="006A1E97">
        <w:rPr>
          <w:rFonts w:ascii="Times New Roman" w:hAnsi="Times New Roman"/>
        </w:rPr>
        <w:t xml:space="preserve">Our website, </w:t>
      </w:r>
      <w:bookmarkStart w:id="0" w:name="_Hlk174709907"/>
      <w:r w:rsidR="006A1E97">
        <w:rPr>
          <w:rFonts w:ascii="Times New Roman" w:hAnsi="Times New Roman"/>
        </w:rPr>
        <w:fldChar w:fldCharType="begin"/>
      </w:r>
      <w:r w:rsidR="006A1E97">
        <w:rPr>
          <w:rFonts w:ascii="Times New Roman" w:hAnsi="Times New Roman"/>
        </w:rPr>
        <w:instrText xml:space="preserve"> HYPERLINK "https://research.tcu.edu/research-compliance/irb/" </w:instrText>
      </w:r>
      <w:r w:rsidR="006A1E97">
        <w:rPr>
          <w:rFonts w:ascii="Times New Roman" w:hAnsi="Times New Roman"/>
        </w:rPr>
      </w:r>
      <w:r w:rsidR="006A1E97">
        <w:rPr>
          <w:rFonts w:ascii="Times New Roman" w:hAnsi="Times New Roman"/>
        </w:rPr>
        <w:fldChar w:fldCharType="separate"/>
      </w:r>
      <w:r w:rsidR="006A1E97" w:rsidRPr="006A1E97">
        <w:rPr>
          <w:rStyle w:val="Hyperlink"/>
          <w:rFonts w:ascii="Times New Roman" w:hAnsi="Times New Roman"/>
        </w:rPr>
        <w:t>research.tcu.edu</w:t>
      </w:r>
      <w:bookmarkEnd w:id="0"/>
      <w:r w:rsidR="006A1E97">
        <w:rPr>
          <w:rFonts w:ascii="Times New Roman" w:hAnsi="Times New Roman"/>
        </w:rPr>
        <w:fldChar w:fldCharType="end"/>
      </w:r>
      <w:r w:rsidR="006A1E97">
        <w:rPr>
          <w:rFonts w:ascii="Times New Roman" w:hAnsi="Times New Roman"/>
        </w:rPr>
        <w:t>, now has new links to resources, guidance, and study start-up tool kits</w:t>
      </w:r>
      <w:r w:rsidRPr="00877850">
        <w:rPr>
          <w:rFonts w:ascii="Times New Roman" w:hAnsi="Times New Roman"/>
        </w:rPr>
        <w:t xml:space="preserve">. </w:t>
      </w:r>
    </w:p>
    <w:p w14:paraId="3A6923FC" w14:textId="32F212D4" w:rsidR="00C82285" w:rsidRDefault="00C82285" w:rsidP="006730D5">
      <w:pPr>
        <w:pStyle w:val="NoSpacing"/>
        <w:jc w:val="both"/>
        <w:rPr>
          <w:rFonts w:ascii="Times New Roman" w:hAnsi="Times New Roman"/>
          <w:sz w:val="24"/>
          <w:szCs w:val="24"/>
        </w:rPr>
      </w:pPr>
      <w:r w:rsidRPr="00C82285">
        <w:rPr>
          <w:rFonts w:ascii="Times New Roman" w:hAnsi="Times New Roman"/>
          <w:sz w:val="24"/>
          <w:szCs w:val="24"/>
        </w:rPr>
        <w:drawing>
          <wp:inline distT="0" distB="0" distL="0" distR="0" wp14:anchorId="0BC92C61" wp14:editId="2B37E45B">
            <wp:extent cx="5943600" cy="23896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2389689"/>
                    </a:xfrm>
                    <a:prstGeom prst="rect">
                      <a:avLst/>
                    </a:prstGeom>
                  </pic:spPr>
                </pic:pic>
              </a:graphicData>
            </a:graphic>
          </wp:inline>
        </w:drawing>
      </w:r>
    </w:p>
    <w:p w14:paraId="349AD42C" w14:textId="77777777" w:rsidR="00C82285" w:rsidRPr="00C82285" w:rsidRDefault="00C82285" w:rsidP="006730D5">
      <w:pPr>
        <w:pStyle w:val="NoSpacing"/>
        <w:jc w:val="both"/>
        <w:rPr>
          <w:rFonts w:ascii="Times New Roman" w:hAnsi="Times New Roman"/>
          <w:sz w:val="24"/>
          <w:szCs w:val="24"/>
        </w:rPr>
      </w:pPr>
    </w:p>
    <w:p w14:paraId="50F8F12A" w14:textId="13FDFE03" w:rsidR="00050C73" w:rsidRDefault="00C82285" w:rsidP="006730D5">
      <w:pPr>
        <w:pStyle w:val="NoSpacing"/>
        <w:jc w:val="both"/>
        <w:rPr>
          <w:rFonts w:ascii="Times New Roman" w:hAnsi="Times New Roman"/>
        </w:rPr>
      </w:pPr>
      <w:r>
        <w:rPr>
          <w:rFonts w:ascii="Times New Roman" w:hAnsi="Times New Roman"/>
        </w:rPr>
        <w:t xml:space="preserve">Next, the options at the bottom of the Submission Type page have changed. You will notice chart reviews are no longer an option on this page. You can submit chart reviews using the Exempt Determination or Research study options. </w:t>
      </w:r>
      <w:r w:rsidR="00877850">
        <w:rPr>
          <w:rFonts w:ascii="Times New Roman" w:hAnsi="Times New Roman"/>
        </w:rPr>
        <w:t xml:space="preserve">Please read through the rest of the document to make yourself aware of additional changes to Cayuse. </w:t>
      </w:r>
      <w:r>
        <w:rPr>
          <w:rFonts w:ascii="Times New Roman" w:hAnsi="Times New Roman"/>
        </w:rPr>
        <w:t xml:space="preserve"> </w:t>
      </w:r>
    </w:p>
    <w:p w14:paraId="5EB955AD" w14:textId="3C1DEB00" w:rsidR="00C82285" w:rsidRDefault="00C82285" w:rsidP="006730D5">
      <w:pPr>
        <w:pStyle w:val="NoSpacing"/>
        <w:jc w:val="both"/>
        <w:rPr>
          <w:rFonts w:ascii="Times New Roman" w:hAnsi="Times New Roman"/>
        </w:rPr>
      </w:pPr>
      <w:r w:rsidRPr="00C82285">
        <w:rPr>
          <w:rFonts w:ascii="Times New Roman" w:hAnsi="Times New Roman"/>
        </w:rPr>
        <w:drawing>
          <wp:inline distT="0" distB="0" distL="0" distR="0" wp14:anchorId="6DB6E444" wp14:editId="32E5FCBF">
            <wp:extent cx="4408098" cy="145022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31414" cy="1457893"/>
                    </a:xfrm>
                    <a:prstGeom prst="rect">
                      <a:avLst/>
                    </a:prstGeom>
                  </pic:spPr>
                </pic:pic>
              </a:graphicData>
            </a:graphic>
          </wp:inline>
        </w:drawing>
      </w:r>
    </w:p>
    <w:p w14:paraId="62CD4101" w14:textId="0591CB28" w:rsidR="00C82285" w:rsidRDefault="00C85C80" w:rsidP="006730D5">
      <w:pPr>
        <w:pStyle w:val="NoSpacing"/>
        <w:jc w:val="both"/>
        <w:rPr>
          <w:rFonts w:ascii="Times New Roman" w:hAnsi="Times New Roman"/>
        </w:rPr>
      </w:pPr>
      <w:r>
        <w:rPr>
          <w:rFonts w:ascii="Times New Roman" w:hAnsi="Times New Roman"/>
        </w:rPr>
        <w:lastRenderedPageBreak/>
        <w:t xml:space="preserve">Previously, the option of </w:t>
      </w:r>
      <w:r w:rsidRPr="00C85C80">
        <w:rPr>
          <w:rFonts w:ascii="Times New Roman" w:hAnsi="Times New Roman"/>
          <w:i/>
          <w:iCs/>
        </w:rPr>
        <w:t>activities that do not constitute human subject research</w:t>
      </w:r>
      <w:r>
        <w:rPr>
          <w:rFonts w:ascii="Times New Roman" w:hAnsi="Times New Roman"/>
        </w:rPr>
        <w:t xml:space="preserve"> was revised to </w:t>
      </w:r>
      <w:r w:rsidRPr="00C85C80">
        <w:rPr>
          <w:rFonts w:ascii="Times New Roman" w:hAnsi="Times New Roman"/>
          <w:b/>
          <w:bCs/>
        </w:rPr>
        <w:t>human subject determination</w:t>
      </w:r>
      <w:r>
        <w:rPr>
          <w:rFonts w:ascii="Times New Roman" w:hAnsi="Times New Roman"/>
        </w:rPr>
        <w:t xml:space="preserve">. </w:t>
      </w:r>
    </w:p>
    <w:p w14:paraId="452B6132" w14:textId="2C3CA6B0" w:rsidR="00C85C80" w:rsidRDefault="00C85C80" w:rsidP="006730D5">
      <w:pPr>
        <w:pStyle w:val="NoSpacing"/>
        <w:jc w:val="both"/>
        <w:rPr>
          <w:rFonts w:ascii="Times New Roman" w:hAnsi="Times New Roman"/>
        </w:rPr>
      </w:pPr>
    </w:p>
    <w:p w14:paraId="2DD37A84" w14:textId="22A8E35F" w:rsidR="00C85C80" w:rsidRDefault="00C85C80" w:rsidP="006730D5">
      <w:pPr>
        <w:pStyle w:val="NoSpacing"/>
        <w:jc w:val="both"/>
        <w:rPr>
          <w:rFonts w:ascii="Times New Roman" w:hAnsi="Times New Roman"/>
        </w:rPr>
      </w:pPr>
      <w:r>
        <w:rPr>
          <w:rFonts w:ascii="Times New Roman" w:hAnsi="Times New Roman"/>
        </w:rPr>
        <w:t xml:space="preserve">This section will now guide researchers through breaking down the federal definition of human subject research. The goal is to ensure and empower our researchers to know whether their project is human subjects research before completing and submitting the abbreviated application. As the questions are answered, you will have the following three determinations before you provide details about the project. </w:t>
      </w:r>
    </w:p>
    <w:p w14:paraId="44277B4B" w14:textId="39B1C689" w:rsidR="00C85C80" w:rsidRDefault="00C85C80" w:rsidP="006730D5">
      <w:pPr>
        <w:pStyle w:val="NoSpacing"/>
        <w:jc w:val="both"/>
        <w:rPr>
          <w:rFonts w:ascii="Times New Roman" w:hAnsi="Times New Roman"/>
        </w:rPr>
      </w:pPr>
    </w:p>
    <w:p w14:paraId="741A4AE3" w14:textId="586F6B6B" w:rsidR="00C85C80" w:rsidRDefault="00C85C80" w:rsidP="00C85C80">
      <w:pPr>
        <w:pStyle w:val="NoSpacing"/>
        <w:numPr>
          <w:ilvl w:val="0"/>
          <w:numId w:val="22"/>
        </w:numPr>
        <w:jc w:val="both"/>
        <w:rPr>
          <w:rFonts w:ascii="Times New Roman" w:hAnsi="Times New Roman"/>
        </w:rPr>
      </w:pPr>
      <w:r>
        <w:rPr>
          <w:rFonts w:ascii="Times New Roman" w:hAnsi="Times New Roman"/>
        </w:rPr>
        <w:t>Not Research – the project does not meet the definition of research</w:t>
      </w:r>
    </w:p>
    <w:p w14:paraId="2D1E6113" w14:textId="48B7063B" w:rsidR="00C85C80" w:rsidRDefault="00C85C80" w:rsidP="00C85C80">
      <w:pPr>
        <w:pStyle w:val="NoSpacing"/>
        <w:numPr>
          <w:ilvl w:val="0"/>
          <w:numId w:val="22"/>
        </w:numPr>
        <w:jc w:val="both"/>
        <w:rPr>
          <w:rFonts w:ascii="Times New Roman" w:hAnsi="Times New Roman"/>
        </w:rPr>
      </w:pPr>
      <w:r>
        <w:rPr>
          <w:rFonts w:ascii="Times New Roman" w:hAnsi="Times New Roman"/>
        </w:rPr>
        <w:t>Research- Not Human Subjects – the project would be considered research but does not involve human subjects</w:t>
      </w:r>
    </w:p>
    <w:p w14:paraId="2A466E27" w14:textId="18839E81" w:rsidR="00C85C80" w:rsidRDefault="00C85C80" w:rsidP="00C85C80">
      <w:pPr>
        <w:pStyle w:val="NoSpacing"/>
        <w:numPr>
          <w:ilvl w:val="0"/>
          <w:numId w:val="22"/>
        </w:numPr>
        <w:jc w:val="both"/>
        <w:rPr>
          <w:rFonts w:ascii="Times New Roman" w:hAnsi="Times New Roman"/>
        </w:rPr>
      </w:pPr>
      <w:r>
        <w:rPr>
          <w:rFonts w:ascii="Times New Roman" w:hAnsi="Times New Roman"/>
        </w:rPr>
        <w:t>Human Subject Research –</w:t>
      </w:r>
      <w:r w:rsidR="005C3FD0">
        <w:rPr>
          <w:rFonts w:ascii="Times New Roman" w:hAnsi="Times New Roman"/>
        </w:rPr>
        <w:t xml:space="preserve"> Y</w:t>
      </w:r>
      <w:r>
        <w:rPr>
          <w:rFonts w:ascii="Times New Roman" w:hAnsi="Times New Roman"/>
        </w:rPr>
        <w:t xml:space="preserve">ou </w:t>
      </w:r>
      <w:r w:rsidR="005C3FD0">
        <w:rPr>
          <w:rFonts w:ascii="Times New Roman" w:hAnsi="Times New Roman"/>
        </w:rPr>
        <w:t>must</w:t>
      </w:r>
      <w:r>
        <w:rPr>
          <w:rFonts w:ascii="Times New Roman" w:hAnsi="Times New Roman"/>
        </w:rPr>
        <w:t xml:space="preserve"> return to the submission type page and change your selection to Exempt Determination or Research Study. </w:t>
      </w:r>
    </w:p>
    <w:p w14:paraId="0C648CD7" w14:textId="087BBCA5" w:rsidR="005C3FD0" w:rsidRDefault="005C3FD0" w:rsidP="005C3FD0">
      <w:pPr>
        <w:pStyle w:val="NoSpacing"/>
        <w:jc w:val="both"/>
        <w:rPr>
          <w:rFonts w:ascii="Times New Roman" w:hAnsi="Times New Roman"/>
        </w:rPr>
      </w:pPr>
    </w:p>
    <w:p w14:paraId="0E00C3B0" w14:textId="2DEB404E" w:rsidR="005C3FD0" w:rsidRDefault="005C3FD0" w:rsidP="005C3FD0">
      <w:pPr>
        <w:pStyle w:val="NoSpacing"/>
        <w:jc w:val="both"/>
        <w:rPr>
          <w:rFonts w:ascii="Times New Roman" w:hAnsi="Times New Roman"/>
        </w:rPr>
      </w:pPr>
      <w:r w:rsidRPr="005C3FD0">
        <w:rPr>
          <w:rFonts w:ascii="Times New Roman" w:hAnsi="Times New Roman"/>
        </w:rPr>
        <w:drawing>
          <wp:inline distT="0" distB="0" distL="0" distR="0" wp14:anchorId="3C91B6D0" wp14:editId="1FE4F72D">
            <wp:extent cx="4063042" cy="2380092"/>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85542" cy="2393272"/>
                    </a:xfrm>
                    <a:prstGeom prst="rect">
                      <a:avLst/>
                    </a:prstGeom>
                  </pic:spPr>
                </pic:pic>
              </a:graphicData>
            </a:graphic>
          </wp:inline>
        </w:drawing>
      </w:r>
    </w:p>
    <w:p w14:paraId="350ECAB3" w14:textId="27455C05" w:rsidR="005C3FD0" w:rsidRDefault="005C3FD0" w:rsidP="005C3FD0">
      <w:pPr>
        <w:pStyle w:val="NoSpacing"/>
        <w:jc w:val="both"/>
        <w:rPr>
          <w:rFonts w:ascii="Times New Roman" w:hAnsi="Times New Roman"/>
        </w:rPr>
      </w:pPr>
    </w:p>
    <w:p w14:paraId="75B500C3" w14:textId="77777777" w:rsidR="005C3FD0" w:rsidRDefault="005C3FD0" w:rsidP="005C3FD0">
      <w:pPr>
        <w:pStyle w:val="NoSpacing"/>
        <w:jc w:val="both"/>
        <w:rPr>
          <w:rFonts w:ascii="Times New Roman" w:hAnsi="Times New Roman"/>
        </w:rPr>
      </w:pPr>
      <w:r>
        <w:rPr>
          <w:rFonts w:ascii="Times New Roman" w:hAnsi="Times New Roman"/>
        </w:rPr>
        <w:t>Many innovative researchers have often asked why it is necessary to complete the entire application for a study that needs an exempt determination. While the federal regulations may not fully apply to research determined to be exempt, plenty of caveats must be met to receive an exempt determination.</w:t>
      </w:r>
    </w:p>
    <w:p w14:paraId="4A5FA816" w14:textId="77777777" w:rsidR="005C3FD0" w:rsidRDefault="005C3FD0" w:rsidP="005C3FD0">
      <w:pPr>
        <w:pStyle w:val="NoSpacing"/>
        <w:jc w:val="both"/>
        <w:rPr>
          <w:rFonts w:ascii="Times New Roman" w:hAnsi="Times New Roman"/>
        </w:rPr>
      </w:pPr>
    </w:p>
    <w:p w14:paraId="19575172" w14:textId="7B54D3A7" w:rsidR="000C2083" w:rsidRDefault="000C2083" w:rsidP="005C3FD0">
      <w:pPr>
        <w:pStyle w:val="NoSpacing"/>
        <w:jc w:val="both"/>
        <w:rPr>
          <w:rFonts w:ascii="Times New Roman" w:hAnsi="Times New Roman"/>
        </w:rPr>
      </w:pPr>
      <w:r>
        <w:rPr>
          <w:rFonts w:ascii="Times New Roman" w:hAnsi="Times New Roman"/>
        </w:rPr>
        <w:t xml:space="preserve">The Office of Research Compliance now offers a Guided Exempt Determination application to reduce the need to complete the same full application. </w:t>
      </w:r>
      <w:r w:rsidRPr="00877850">
        <w:rPr>
          <w:rFonts w:ascii="Times New Roman" w:hAnsi="Times New Roman"/>
          <w:b/>
          <w:bCs/>
        </w:rPr>
        <w:t xml:space="preserve">Please </w:t>
      </w:r>
      <w:r w:rsidR="0092769B" w:rsidRPr="00877850">
        <w:rPr>
          <w:rFonts w:ascii="Times New Roman" w:hAnsi="Times New Roman"/>
          <w:b/>
          <w:bCs/>
        </w:rPr>
        <w:t>remember that</w:t>
      </w:r>
      <w:r w:rsidRPr="00877850">
        <w:rPr>
          <w:rFonts w:ascii="Times New Roman" w:hAnsi="Times New Roman"/>
          <w:b/>
          <w:bCs/>
        </w:rPr>
        <w:t xml:space="preserve"> the IRB </w:t>
      </w:r>
      <w:r w:rsidR="0092769B" w:rsidRPr="00877850">
        <w:rPr>
          <w:rFonts w:ascii="Times New Roman" w:hAnsi="Times New Roman"/>
          <w:b/>
          <w:bCs/>
        </w:rPr>
        <w:t>ultimately decides</w:t>
      </w:r>
      <w:r w:rsidRPr="00877850">
        <w:rPr>
          <w:rFonts w:ascii="Times New Roman" w:hAnsi="Times New Roman"/>
          <w:b/>
          <w:bCs/>
        </w:rPr>
        <w:t xml:space="preserve"> if research qualifies for exemption.</w:t>
      </w:r>
      <w:r>
        <w:rPr>
          <w:rFonts w:ascii="Times New Roman" w:hAnsi="Times New Roman"/>
        </w:rPr>
        <w:t xml:space="preserve"> Investigators can now make an initial determination</w:t>
      </w:r>
      <w:r w:rsidR="0092769B">
        <w:rPr>
          <w:rFonts w:ascii="Times New Roman" w:hAnsi="Times New Roman"/>
        </w:rPr>
        <w:t xml:space="preserve"> by following the below instructions:</w:t>
      </w:r>
    </w:p>
    <w:p w14:paraId="2C93576C" w14:textId="77777777" w:rsidR="000C2083" w:rsidRDefault="000C2083" w:rsidP="005C3FD0">
      <w:pPr>
        <w:pStyle w:val="NoSpacing"/>
        <w:jc w:val="both"/>
        <w:rPr>
          <w:rFonts w:ascii="Times New Roman" w:hAnsi="Times New Roman"/>
        </w:rPr>
      </w:pPr>
    </w:p>
    <w:p w14:paraId="49E95F70" w14:textId="02AA5840" w:rsidR="000C2083" w:rsidRDefault="000C2083" w:rsidP="000C2083">
      <w:pPr>
        <w:pStyle w:val="NoSpacing"/>
        <w:jc w:val="both"/>
        <w:rPr>
          <w:rFonts w:ascii="Times New Roman" w:hAnsi="Times New Roman"/>
        </w:rPr>
      </w:pPr>
      <w:r w:rsidRPr="000C2083">
        <w:rPr>
          <w:rFonts w:ascii="Times New Roman" w:hAnsi="Times New Roman"/>
          <w:b/>
          <w:bCs/>
        </w:rPr>
        <w:t xml:space="preserve">Instructions for Guided Exempt Determination: </w:t>
      </w:r>
    </w:p>
    <w:p w14:paraId="5C084040" w14:textId="4395CF83" w:rsidR="000C2083" w:rsidRDefault="000C2083" w:rsidP="000C2083">
      <w:pPr>
        <w:pStyle w:val="NoSpacing"/>
        <w:jc w:val="both"/>
        <w:rPr>
          <w:rFonts w:ascii="Times New Roman" w:hAnsi="Times New Roman"/>
        </w:rPr>
      </w:pPr>
    </w:p>
    <w:p w14:paraId="6546B386" w14:textId="64BAF56F" w:rsidR="000C2083" w:rsidRDefault="000C2083" w:rsidP="000C2083">
      <w:pPr>
        <w:pStyle w:val="NoSpacing"/>
        <w:numPr>
          <w:ilvl w:val="0"/>
          <w:numId w:val="24"/>
        </w:numPr>
        <w:jc w:val="both"/>
        <w:rPr>
          <w:rFonts w:ascii="Times New Roman" w:hAnsi="Times New Roman"/>
        </w:rPr>
      </w:pPr>
      <w:r>
        <w:rPr>
          <w:rFonts w:ascii="Times New Roman" w:hAnsi="Times New Roman"/>
        </w:rPr>
        <w:t xml:space="preserve">Read All information at the top of the page. </w:t>
      </w:r>
    </w:p>
    <w:p w14:paraId="7366827B" w14:textId="2A577879" w:rsidR="000C2083" w:rsidRDefault="0092769B" w:rsidP="000C2083">
      <w:pPr>
        <w:pStyle w:val="NoSpacing"/>
        <w:numPr>
          <w:ilvl w:val="0"/>
          <w:numId w:val="24"/>
        </w:numPr>
        <w:jc w:val="both"/>
        <w:rPr>
          <w:rFonts w:ascii="Times New Roman" w:hAnsi="Times New Roman"/>
        </w:rPr>
      </w:pPr>
      <w:r>
        <w:rPr>
          <w:rFonts w:ascii="Times New Roman" w:hAnsi="Times New Roman"/>
        </w:rPr>
        <w:t>Select all the appropriate exempt</w:t>
      </w:r>
      <w:r w:rsidR="006A1E97">
        <w:rPr>
          <w:rFonts w:ascii="Times New Roman" w:hAnsi="Times New Roman"/>
        </w:rPr>
        <w:t xml:space="preserve"> </w:t>
      </w:r>
      <w:r>
        <w:rPr>
          <w:rFonts w:ascii="Times New Roman" w:hAnsi="Times New Roman"/>
        </w:rPr>
        <w:t xml:space="preserve">categories that fit </w:t>
      </w:r>
      <w:r w:rsidR="00877850">
        <w:rPr>
          <w:rFonts w:ascii="Times New Roman" w:hAnsi="Times New Roman"/>
        </w:rPr>
        <w:t>the</w:t>
      </w:r>
      <w:r>
        <w:rPr>
          <w:rFonts w:ascii="Times New Roman" w:hAnsi="Times New Roman"/>
        </w:rPr>
        <w:t xml:space="preserve"> </w:t>
      </w:r>
      <w:r w:rsidR="006A1E97">
        <w:rPr>
          <w:rFonts w:ascii="Times New Roman" w:hAnsi="Times New Roman"/>
        </w:rPr>
        <w:t>submitted research</w:t>
      </w:r>
      <w:r>
        <w:rPr>
          <w:rFonts w:ascii="Times New Roman" w:hAnsi="Times New Roman"/>
        </w:rPr>
        <w:t>.</w:t>
      </w:r>
    </w:p>
    <w:p w14:paraId="759D073E" w14:textId="77777777" w:rsidR="0092769B" w:rsidRDefault="0092769B" w:rsidP="000C2083">
      <w:pPr>
        <w:pStyle w:val="NoSpacing"/>
        <w:numPr>
          <w:ilvl w:val="0"/>
          <w:numId w:val="24"/>
        </w:numPr>
        <w:jc w:val="both"/>
        <w:rPr>
          <w:rFonts w:ascii="Times New Roman" w:hAnsi="Times New Roman"/>
        </w:rPr>
      </w:pPr>
      <w:r>
        <w:rPr>
          <w:rFonts w:ascii="Times New Roman" w:hAnsi="Times New Roman"/>
        </w:rPr>
        <w:t>Work through the additional questions that will appear under each category.</w:t>
      </w:r>
    </w:p>
    <w:p w14:paraId="4DF5550D" w14:textId="0D17B0EE" w:rsidR="0092769B" w:rsidRDefault="0092769B" w:rsidP="000C2083">
      <w:pPr>
        <w:pStyle w:val="NoSpacing"/>
        <w:numPr>
          <w:ilvl w:val="0"/>
          <w:numId w:val="24"/>
        </w:numPr>
        <w:jc w:val="both"/>
        <w:rPr>
          <w:rFonts w:ascii="Times New Roman" w:hAnsi="Times New Roman"/>
        </w:rPr>
      </w:pPr>
      <w:r>
        <w:rPr>
          <w:rFonts w:ascii="Times New Roman" w:hAnsi="Times New Roman"/>
        </w:rPr>
        <w:t xml:space="preserve">If the research does not qualify for the exemption, the application will direct you to </w:t>
      </w:r>
      <w:r w:rsidR="00877850">
        <w:rPr>
          <w:rFonts w:ascii="Times New Roman" w:hAnsi="Times New Roman"/>
        </w:rPr>
        <w:t>complete</w:t>
      </w:r>
      <w:r>
        <w:rPr>
          <w:rFonts w:ascii="Times New Roman" w:hAnsi="Times New Roman"/>
        </w:rPr>
        <w:t xml:space="preserve"> the full</w:t>
      </w:r>
      <w:r w:rsidR="00877850">
        <w:rPr>
          <w:rFonts w:ascii="Times New Roman" w:hAnsi="Times New Roman"/>
        </w:rPr>
        <w:t xml:space="preserve"> research</w:t>
      </w:r>
      <w:r>
        <w:rPr>
          <w:rFonts w:ascii="Times New Roman" w:hAnsi="Times New Roman"/>
        </w:rPr>
        <w:t xml:space="preserve"> application. </w:t>
      </w:r>
    </w:p>
    <w:p w14:paraId="40BDE831" w14:textId="5081881A" w:rsidR="0092769B" w:rsidRDefault="0092769B" w:rsidP="000C2083">
      <w:pPr>
        <w:pStyle w:val="NoSpacing"/>
        <w:numPr>
          <w:ilvl w:val="0"/>
          <w:numId w:val="24"/>
        </w:numPr>
        <w:jc w:val="both"/>
        <w:rPr>
          <w:rFonts w:ascii="Times New Roman" w:hAnsi="Times New Roman"/>
        </w:rPr>
      </w:pPr>
      <w:r>
        <w:rPr>
          <w:rFonts w:ascii="Times New Roman" w:hAnsi="Times New Roman"/>
        </w:rPr>
        <w:t xml:space="preserve">If the research does qualify for the desired exemption, the rest of the abbreviated application will populate. </w:t>
      </w:r>
    </w:p>
    <w:p w14:paraId="39CAE668" w14:textId="68305393" w:rsidR="0092769B" w:rsidRDefault="0092769B" w:rsidP="000C2083">
      <w:pPr>
        <w:pStyle w:val="NoSpacing"/>
        <w:numPr>
          <w:ilvl w:val="0"/>
          <w:numId w:val="24"/>
        </w:numPr>
        <w:jc w:val="both"/>
        <w:rPr>
          <w:rFonts w:ascii="Times New Roman" w:hAnsi="Times New Roman"/>
        </w:rPr>
      </w:pPr>
      <w:r>
        <w:rPr>
          <w:rFonts w:ascii="Times New Roman" w:hAnsi="Times New Roman"/>
        </w:rPr>
        <w:t>Complete each section as you normally would. Ensure to answer every question</w:t>
      </w:r>
      <w:r w:rsidR="00877850">
        <w:rPr>
          <w:rFonts w:ascii="Times New Roman" w:hAnsi="Times New Roman"/>
        </w:rPr>
        <w:t xml:space="preserve"> in each section</w:t>
      </w:r>
      <w:r>
        <w:rPr>
          <w:rFonts w:ascii="Times New Roman" w:hAnsi="Times New Roman"/>
        </w:rPr>
        <w:t xml:space="preserve"> that </w:t>
      </w:r>
      <w:r w:rsidR="006A1E97">
        <w:rPr>
          <w:rFonts w:ascii="Times New Roman" w:hAnsi="Times New Roman"/>
        </w:rPr>
        <w:t>applies</w:t>
      </w:r>
      <w:r>
        <w:rPr>
          <w:rFonts w:ascii="Times New Roman" w:hAnsi="Times New Roman"/>
        </w:rPr>
        <w:t xml:space="preserve"> to the research. </w:t>
      </w:r>
    </w:p>
    <w:p w14:paraId="14D4F896" w14:textId="77777777" w:rsidR="00877850" w:rsidRDefault="0092769B" w:rsidP="000C2083">
      <w:pPr>
        <w:pStyle w:val="NoSpacing"/>
        <w:numPr>
          <w:ilvl w:val="0"/>
          <w:numId w:val="24"/>
        </w:numPr>
        <w:jc w:val="both"/>
        <w:rPr>
          <w:rFonts w:ascii="Times New Roman" w:hAnsi="Times New Roman"/>
        </w:rPr>
      </w:pPr>
      <w:r>
        <w:rPr>
          <w:rFonts w:ascii="Times New Roman" w:hAnsi="Times New Roman"/>
        </w:rPr>
        <w:lastRenderedPageBreak/>
        <w:t xml:space="preserve">The review process will not change; if </w:t>
      </w:r>
      <w:r w:rsidR="00877850">
        <w:rPr>
          <w:rFonts w:ascii="Times New Roman" w:hAnsi="Times New Roman"/>
        </w:rPr>
        <w:t>questions are</w:t>
      </w:r>
      <w:r>
        <w:rPr>
          <w:rFonts w:ascii="Times New Roman" w:hAnsi="Times New Roman"/>
        </w:rPr>
        <w:t xml:space="preserve"> unanswered or not answered sufficiently, the application will be sent back to the study team. </w:t>
      </w:r>
    </w:p>
    <w:p w14:paraId="213315B4" w14:textId="4361AA74" w:rsidR="0092769B" w:rsidRDefault="0092769B" w:rsidP="00877850">
      <w:pPr>
        <w:pStyle w:val="NoSpacing"/>
        <w:ind w:left="720"/>
        <w:jc w:val="both"/>
        <w:rPr>
          <w:rFonts w:ascii="Times New Roman" w:hAnsi="Times New Roman"/>
        </w:rPr>
      </w:pPr>
      <w:r>
        <w:rPr>
          <w:rFonts w:ascii="Times New Roman" w:hAnsi="Times New Roman"/>
        </w:rPr>
        <w:t xml:space="preserve"> </w:t>
      </w:r>
    </w:p>
    <w:p w14:paraId="7B22D345" w14:textId="0C0EFD16" w:rsidR="0092769B" w:rsidRDefault="00877850" w:rsidP="00877850">
      <w:pPr>
        <w:pStyle w:val="NoSpacing"/>
        <w:ind w:left="-90"/>
        <w:jc w:val="both"/>
        <w:rPr>
          <w:rFonts w:ascii="Times New Roman" w:hAnsi="Times New Roman"/>
        </w:rPr>
      </w:pPr>
      <w:r w:rsidRPr="0092769B">
        <w:rPr>
          <w:rFonts w:ascii="Times New Roman" w:hAnsi="Times New Roman"/>
        </w:rPr>
        <w:drawing>
          <wp:inline distT="0" distB="0" distL="0" distR="0" wp14:anchorId="360FE9AB" wp14:editId="7FBF168C">
            <wp:extent cx="6792033" cy="3122763"/>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814904" cy="3133279"/>
                    </a:xfrm>
                    <a:prstGeom prst="rect">
                      <a:avLst/>
                    </a:prstGeom>
                  </pic:spPr>
                </pic:pic>
              </a:graphicData>
            </a:graphic>
          </wp:inline>
        </w:drawing>
      </w:r>
    </w:p>
    <w:p w14:paraId="58E24496" w14:textId="4DF43021" w:rsidR="0092769B" w:rsidRPr="000C2083" w:rsidRDefault="0092769B" w:rsidP="00877850">
      <w:pPr>
        <w:pStyle w:val="NoSpacing"/>
        <w:ind w:left="720"/>
        <w:rPr>
          <w:rFonts w:ascii="Times New Roman" w:hAnsi="Times New Roman"/>
        </w:rPr>
      </w:pPr>
    </w:p>
    <w:p w14:paraId="0299C003" w14:textId="15526EA4" w:rsidR="005C3FD0" w:rsidRDefault="000C2083" w:rsidP="005C3FD0">
      <w:pPr>
        <w:pStyle w:val="NoSpacing"/>
        <w:jc w:val="both"/>
        <w:rPr>
          <w:rFonts w:ascii="Times New Roman" w:hAnsi="Times New Roman"/>
        </w:rPr>
      </w:pPr>
      <w:r>
        <w:rPr>
          <w:rFonts w:ascii="Times New Roman" w:hAnsi="Times New Roman"/>
        </w:rPr>
        <w:t xml:space="preserve"> </w:t>
      </w:r>
    </w:p>
    <w:p w14:paraId="2AE80103" w14:textId="627E0FD3" w:rsidR="005C3FD0" w:rsidRPr="00877850" w:rsidRDefault="00877850" w:rsidP="005C3FD0">
      <w:pPr>
        <w:pStyle w:val="NoSpacing"/>
        <w:jc w:val="both"/>
        <w:rPr>
          <w:rFonts w:ascii="Times New Roman" w:hAnsi="Times New Roman"/>
          <w:b/>
          <w:bCs/>
        </w:rPr>
      </w:pPr>
      <w:r w:rsidRPr="00877850">
        <w:rPr>
          <w:rFonts w:ascii="Times New Roman" w:hAnsi="Times New Roman"/>
          <w:b/>
          <w:bCs/>
        </w:rPr>
        <w:t xml:space="preserve">Changes to the Research Study application: </w:t>
      </w:r>
      <w:r w:rsidR="005C3FD0" w:rsidRPr="00877850">
        <w:rPr>
          <w:rFonts w:ascii="Times New Roman" w:hAnsi="Times New Roman"/>
          <w:b/>
          <w:bCs/>
        </w:rPr>
        <w:t xml:space="preserve"> </w:t>
      </w:r>
    </w:p>
    <w:p w14:paraId="2B29DDA7" w14:textId="77777777" w:rsidR="00877850" w:rsidRDefault="00877850" w:rsidP="006730D5">
      <w:pPr>
        <w:pStyle w:val="NoSpacing"/>
        <w:jc w:val="both"/>
        <w:rPr>
          <w:rFonts w:ascii="Times New Roman" w:hAnsi="Times New Roman"/>
        </w:rPr>
      </w:pPr>
    </w:p>
    <w:p w14:paraId="397FEF09" w14:textId="60C95E5C" w:rsidR="0070754B" w:rsidRDefault="00877850" w:rsidP="006730D5">
      <w:pPr>
        <w:pStyle w:val="NoSpacing"/>
        <w:jc w:val="both"/>
        <w:rPr>
          <w:rFonts w:ascii="Times New Roman" w:hAnsi="Times New Roman"/>
        </w:rPr>
      </w:pPr>
      <w:r>
        <w:rPr>
          <w:rFonts w:ascii="Times New Roman" w:hAnsi="Times New Roman"/>
        </w:rPr>
        <w:t>Researchers will notice</w:t>
      </w:r>
      <w:r w:rsidR="0070754B">
        <w:rPr>
          <w:rFonts w:ascii="Times New Roman" w:hAnsi="Times New Roman"/>
        </w:rPr>
        <w:t xml:space="preserve"> that some areas may have more information or questions </w:t>
      </w:r>
      <w:r w:rsidR="006A1E97">
        <w:rPr>
          <w:rFonts w:ascii="Times New Roman" w:hAnsi="Times New Roman"/>
        </w:rPr>
        <w:t>due to</w:t>
      </w:r>
      <w:r w:rsidR="0070754B">
        <w:rPr>
          <w:rFonts w:ascii="Times New Roman" w:hAnsi="Times New Roman"/>
        </w:rPr>
        <w:t xml:space="preserve"> the most common mistakes or missing information. Our goal was to ensure the application more clearly details what is being asked and </w:t>
      </w:r>
      <w:r w:rsidR="006A1E97">
        <w:rPr>
          <w:rFonts w:ascii="Times New Roman" w:hAnsi="Times New Roman"/>
        </w:rPr>
        <w:t>provides examples and additional considerations as the study team prepares its</w:t>
      </w:r>
      <w:r w:rsidR="0070754B">
        <w:rPr>
          <w:rFonts w:ascii="Times New Roman" w:hAnsi="Times New Roman"/>
        </w:rPr>
        <w:t xml:space="preserve"> application for submission. </w:t>
      </w:r>
    </w:p>
    <w:p w14:paraId="72AEA8FE" w14:textId="3195FA81" w:rsidR="0070754B" w:rsidRDefault="0070754B" w:rsidP="006730D5">
      <w:pPr>
        <w:pStyle w:val="NoSpacing"/>
        <w:jc w:val="both"/>
        <w:rPr>
          <w:rFonts w:ascii="Times New Roman" w:hAnsi="Times New Roman"/>
        </w:rPr>
      </w:pPr>
    </w:p>
    <w:p w14:paraId="61B805CC" w14:textId="3EB2BF68" w:rsidR="0070754B" w:rsidRDefault="006A1E97" w:rsidP="006730D5">
      <w:pPr>
        <w:pStyle w:val="NoSpacing"/>
        <w:jc w:val="both"/>
        <w:rPr>
          <w:rFonts w:ascii="Times New Roman" w:hAnsi="Times New Roman"/>
        </w:rPr>
      </w:pPr>
      <w:r>
        <w:rPr>
          <w:rFonts w:ascii="Times New Roman" w:hAnsi="Times New Roman"/>
        </w:rPr>
        <w:t>The</w:t>
      </w:r>
      <w:r w:rsidR="0070754B">
        <w:rPr>
          <w:rFonts w:ascii="Times New Roman" w:hAnsi="Times New Roman"/>
        </w:rPr>
        <w:t xml:space="preserve"> recruitment, informed consent, and study procedures sections will be driven by selecting all recruitment, informed consent, and study procedures methods that will be part of each study. This will encourage our researcher</w:t>
      </w:r>
      <w:r>
        <w:rPr>
          <w:rFonts w:ascii="Times New Roman" w:hAnsi="Times New Roman"/>
        </w:rPr>
        <w:t>s</w:t>
      </w:r>
      <w:r w:rsidR="0070754B">
        <w:rPr>
          <w:rFonts w:ascii="Times New Roman" w:hAnsi="Times New Roman"/>
        </w:rPr>
        <w:t xml:space="preserve"> to consider all methods, techniques, and strategies that will be utilized before completing these sections of the application. </w:t>
      </w:r>
    </w:p>
    <w:p w14:paraId="28604D54" w14:textId="26A59A4F" w:rsidR="00C85C80" w:rsidRDefault="0070754B" w:rsidP="006730D5">
      <w:pPr>
        <w:pStyle w:val="NoSpacing"/>
        <w:jc w:val="both"/>
        <w:rPr>
          <w:rFonts w:ascii="Times New Roman" w:hAnsi="Times New Roman"/>
        </w:rPr>
      </w:pPr>
      <w:r>
        <w:rPr>
          <w:rFonts w:ascii="Times New Roman" w:hAnsi="Times New Roman"/>
        </w:rPr>
        <w:t xml:space="preserve"> </w:t>
      </w:r>
    </w:p>
    <w:p w14:paraId="3A1D9C05" w14:textId="67670377" w:rsidR="006A1E97" w:rsidRDefault="006A1E97" w:rsidP="006730D5">
      <w:pPr>
        <w:pStyle w:val="NoSpacing"/>
        <w:jc w:val="both"/>
        <w:rPr>
          <w:rFonts w:ascii="Times New Roman" w:hAnsi="Times New Roman"/>
        </w:rPr>
      </w:pPr>
      <w:r w:rsidRPr="006A1E97">
        <w:rPr>
          <w:rFonts w:ascii="Times New Roman" w:hAnsi="Times New Roman"/>
        </w:rPr>
        <w:drawing>
          <wp:inline distT="0" distB="0" distL="0" distR="0" wp14:anchorId="2D032C5A" wp14:editId="5DBE5F13">
            <wp:extent cx="4632385" cy="192521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47608" cy="1931538"/>
                    </a:xfrm>
                    <a:prstGeom prst="rect">
                      <a:avLst/>
                    </a:prstGeom>
                  </pic:spPr>
                </pic:pic>
              </a:graphicData>
            </a:graphic>
          </wp:inline>
        </w:drawing>
      </w:r>
    </w:p>
    <w:p w14:paraId="75FCEA7B" w14:textId="37FC35BB" w:rsidR="006A1E97" w:rsidRDefault="006A1E97" w:rsidP="006730D5">
      <w:pPr>
        <w:pStyle w:val="NoSpacing"/>
        <w:jc w:val="both"/>
        <w:rPr>
          <w:rFonts w:ascii="Times New Roman" w:hAnsi="Times New Roman"/>
        </w:rPr>
      </w:pPr>
    </w:p>
    <w:p w14:paraId="61A6087E" w14:textId="39A0C781" w:rsidR="006A1E97" w:rsidRDefault="006A1E97" w:rsidP="006730D5">
      <w:pPr>
        <w:pStyle w:val="NoSpacing"/>
        <w:jc w:val="both"/>
        <w:rPr>
          <w:rFonts w:ascii="Times New Roman" w:hAnsi="Times New Roman"/>
        </w:rPr>
      </w:pPr>
    </w:p>
    <w:p w14:paraId="681271C2" w14:textId="456C8C25" w:rsidR="006A1E97" w:rsidRDefault="006A1E97" w:rsidP="006730D5">
      <w:pPr>
        <w:pStyle w:val="NoSpacing"/>
        <w:jc w:val="both"/>
        <w:rPr>
          <w:rFonts w:ascii="Times New Roman" w:hAnsi="Times New Roman"/>
        </w:rPr>
      </w:pPr>
      <w:r w:rsidRPr="006A1E97">
        <w:rPr>
          <w:rFonts w:ascii="Times New Roman" w:hAnsi="Times New Roman"/>
        </w:rPr>
        <w:lastRenderedPageBreak/>
        <w:drawing>
          <wp:inline distT="0" distB="0" distL="0" distR="0" wp14:anchorId="70494673" wp14:editId="0A0708D6">
            <wp:extent cx="5943600" cy="17151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1715135"/>
                    </a:xfrm>
                    <a:prstGeom prst="rect">
                      <a:avLst/>
                    </a:prstGeom>
                  </pic:spPr>
                </pic:pic>
              </a:graphicData>
            </a:graphic>
          </wp:inline>
        </w:drawing>
      </w:r>
    </w:p>
    <w:p w14:paraId="746B9368" w14:textId="77777777" w:rsidR="00C85C80" w:rsidRDefault="00C85C80" w:rsidP="006730D5">
      <w:pPr>
        <w:pStyle w:val="NoSpacing"/>
        <w:jc w:val="both"/>
        <w:rPr>
          <w:rFonts w:ascii="Times New Roman" w:hAnsi="Times New Roman"/>
        </w:rPr>
      </w:pPr>
    </w:p>
    <w:p w14:paraId="74586117" w14:textId="6C187A3F" w:rsidR="00050C73" w:rsidRDefault="006A1E97" w:rsidP="006730D5">
      <w:pPr>
        <w:pStyle w:val="NoSpacing"/>
        <w:jc w:val="both"/>
        <w:rPr>
          <w:rFonts w:ascii="Times New Roman" w:hAnsi="Times New Roman"/>
        </w:rPr>
      </w:pPr>
      <w:r w:rsidRPr="006A1E97">
        <w:rPr>
          <w:rFonts w:ascii="Times New Roman" w:hAnsi="Times New Roman"/>
        </w:rPr>
        <w:drawing>
          <wp:inline distT="0" distB="0" distL="0" distR="0" wp14:anchorId="148AB30A" wp14:editId="08BCE8BC">
            <wp:extent cx="2681304" cy="3114136"/>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86491" cy="3120160"/>
                    </a:xfrm>
                    <a:prstGeom prst="rect">
                      <a:avLst/>
                    </a:prstGeom>
                  </pic:spPr>
                </pic:pic>
              </a:graphicData>
            </a:graphic>
          </wp:inline>
        </w:drawing>
      </w:r>
    </w:p>
    <w:p w14:paraId="0216AD37" w14:textId="3AFFC0DE" w:rsidR="00687DE7" w:rsidRDefault="00687DE7" w:rsidP="006730D5">
      <w:pPr>
        <w:pStyle w:val="NoSpacing"/>
        <w:jc w:val="both"/>
        <w:rPr>
          <w:rFonts w:ascii="Times New Roman" w:hAnsi="Times New Roman"/>
        </w:rPr>
      </w:pPr>
    </w:p>
    <w:p w14:paraId="0096CCBC" w14:textId="6760D6C5" w:rsidR="00687DE7" w:rsidRDefault="00687DE7" w:rsidP="006730D5">
      <w:pPr>
        <w:pStyle w:val="NoSpacing"/>
        <w:jc w:val="both"/>
        <w:rPr>
          <w:rFonts w:ascii="Times New Roman" w:hAnsi="Times New Roman"/>
        </w:rPr>
      </w:pPr>
      <w:r>
        <w:rPr>
          <w:rFonts w:ascii="Times New Roman" w:hAnsi="Times New Roman"/>
        </w:rPr>
        <w:t xml:space="preserve">There are also many other changes within the application, so please read through everything carefully. However, it is essentially still the same. Researchers will only see applicable questions and will not have to answer the unnecessary questions in the previous versions. </w:t>
      </w:r>
    </w:p>
    <w:p w14:paraId="26682ADA" w14:textId="0540AE9D" w:rsidR="00687DE7" w:rsidRDefault="00687DE7" w:rsidP="006730D5">
      <w:pPr>
        <w:pStyle w:val="NoSpacing"/>
        <w:jc w:val="both"/>
        <w:rPr>
          <w:rFonts w:ascii="Times New Roman" w:hAnsi="Times New Roman"/>
        </w:rPr>
      </w:pPr>
    </w:p>
    <w:p w14:paraId="1D77601B" w14:textId="1AA4457B" w:rsidR="00687DE7" w:rsidRDefault="00687DE7" w:rsidP="006730D5">
      <w:pPr>
        <w:pStyle w:val="NoSpacing"/>
        <w:jc w:val="both"/>
        <w:rPr>
          <w:rFonts w:ascii="Times New Roman" w:hAnsi="Times New Roman"/>
        </w:rPr>
      </w:pPr>
      <w:r>
        <w:rPr>
          <w:rFonts w:ascii="Times New Roman" w:hAnsi="Times New Roman"/>
        </w:rPr>
        <w:t xml:space="preserve">If you have any questions, feedback, or concerns, please contact us at </w:t>
      </w:r>
      <w:hyperlink r:id="rId16" w:history="1">
        <w:r w:rsidRPr="00920397">
          <w:rPr>
            <w:rStyle w:val="Hyperlink"/>
            <w:rFonts w:ascii="Times New Roman" w:hAnsi="Times New Roman"/>
          </w:rPr>
          <w:t>IRBSubmit@tcu.edu</w:t>
        </w:r>
      </w:hyperlink>
      <w:r>
        <w:rPr>
          <w:rFonts w:ascii="Times New Roman" w:hAnsi="Times New Roman"/>
        </w:rPr>
        <w:t xml:space="preserve">. </w:t>
      </w:r>
    </w:p>
    <w:p w14:paraId="2B0A4751" w14:textId="445EBAC7" w:rsidR="00687DE7" w:rsidRDefault="00687DE7" w:rsidP="006730D5">
      <w:pPr>
        <w:pStyle w:val="NoSpacing"/>
        <w:jc w:val="both"/>
        <w:rPr>
          <w:rFonts w:ascii="Times New Roman" w:hAnsi="Times New Roman"/>
        </w:rPr>
      </w:pPr>
    </w:p>
    <w:p w14:paraId="013041A8" w14:textId="77777777" w:rsidR="00687DE7" w:rsidRPr="006730D5" w:rsidRDefault="00687DE7" w:rsidP="006730D5">
      <w:pPr>
        <w:pStyle w:val="NoSpacing"/>
        <w:jc w:val="both"/>
        <w:rPr>
          <w:rFonts w:ascii="Times New Roman" w:hAnsi="Times New Roman"/>
        </w:rPr>
      </w:pPr>
    </w:p>
    <w:sectPr w:rsidR="00687DE7" w:rsidRPr="006730D5" w:rsidSect="00877850">
      <w:footerReference w:type="default" r:id="rId1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C0A6A" w14:textId="77777777" w:rsidR="00057757" w:rsidRDefault="00057757" w:rsidP="00D72DE6">
      <w:r>
        <w:separator/>
      </w:r>
    </w:p>
  </w:endnote>
  <w:endnote w:type="continuationSeparator" w:id="0">
    <w:p w14:paraId="7EC780C1" w14:textId="77777777" w:rsidR="00057757" w:rsidRDefault="00057757" w:rsidP="00D72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1F01C" w14:textId="3C4EBE05" w:rsidR="00C633EB" w:rsidRDefault="00C633EB">
    <w:pPr>
      <w:pStyle w:val="Footer"/>
    </w:pPr>
    <w:r>
      <w:t xml:space="preserve">TCU </w:t>
    </w:r>
    <w:r w:rsidR="00C82285">
      <w:t>8</w:t>
    </w:r>
    <w:r>
      <w:t>.202</w:t>
    </w:r>
    <w:r w:rsidR="00C82285">
      <w:t>4</w:t>
    </w:r>
  </w:p>
  <w:p w14:paraId="73254A8B" w14:textId="77777777" w:rsidR="00C633EB" w:rsidRPr="00C72819" w:rsidRDefault="00C633EB">
    <w:pPr>
      <w:pStyle w:val="Foo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AF67D" w14:textId="77777777" w:rsidR="00057757" w:rsidRDefault="00057757" w:rsidP="00D72DE6">
      <w:r>
        <w:separator/>
      </w:r>
    </w:p>
  </w:footnote>
  <w:footnote w:type="continuationSeparator" w:id="0">
    <w:p w14:paraId="6DD323E9" w14:textId="77777777" w:rsidR="00057757" w:rsidRDefault="00057757" w:rsidP="00D72D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6A7A"/>
    <w:multiLevelType w:val="hybridMultilevel"/>
    <w:tmpl w:val="541AC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B20C4"/>
    <w:multiLevelType w:val="hybridMultilevel"/>
    <w:tmpl w:val="0AF001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C80150"/>
    <w:multiLevelType w:val="hybridMultilevel"/>
    <w:tmpl w:val="DCC4D80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DEF112F"/>
    <w:multiLevelType w:val="hybridMultilevel"/>
    <w:tmpl w:val="B8D088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EC35D76"/>
    <w:multiLevelType w:val="hybridMultilevel"/>
    <w:tmpl w:val="868ABC92"/>
    <w:lvl w:ilvl="0" w:tplc="04090001">
      <w:start w:val="1"/>
      <w:numFmt w:val="bullet"/>
      <w:lvlText w:val=""/>
      <w:lvlJc w:val="left"/>
      <w:pPr>
        <w:ind w:left="720" w:hanging="360"/>
      </w:pPr>
      <w:rPr>
        <w:rFonts w:ascii="Symbol" w:hAnsi="Symbol" w:hint="default"/>
      </w:rPr>
    </w:lvl>
    <w:lvl w:ilvl="1" w:tplc="A042AAF0">
      <w:numFmt w:val="bullet"/>
      <w:lvlText w:val=""/>
      <w:lvlJc w:val="left"/>
      <w:pPr>
        <w:ind w:left="1440" w:hanging="360"/>
      </w:pPr>
      <w:rPr>
        <w:rFonts w:ascii="Symbol" w:eastAsia="Times New Roman" w:hAnsi="Symbol" w:cstheme="min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D30296"/>
    <w:multiLevelType w:val="hybridMultilevel"/>
    <w:tmpl w:val="CF06C71E"/>
    <w:lvl w:ilvl="0" w:tplc="E8E437D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F256292"/>
    <w:multiLevelType w:val="hybridMultilevel"/>
    <w:tmpl w:val="A1D01A1C"/>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5883830"/>
    <w:multiLevelType w:val="hybridMultilevel"/>
    <w:tmpl w:val="880486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F0A7E31"/>
    <w:multiLevelType w:val="hybridMultilevel"/>
    <w:tmpl w:val="C55CE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8071C2"/>
    <w:multiLevelType w:val="hybridMultilevel"/>
    <w:tmpl w:val="F468C6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70F2880"/>
    <w:multiLevelType w:val="hybridMultilevel"/>
    <w:tmpl w:val="9DE4D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E15821"/>
    <w:multiLevelType w:val="hybridMultilevel"/>
    <w:tmpl w:val="3F306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65099E"/>
    <w:multiLevelType w:val="hybridMultilevel"/>
    <w:tmpl w:val="497C8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50296E"/>
    <w:multiLevelType w:val="hybridMultilevel"/>
    <w:tmpl w:val="2346B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0F0BA1"/>
    <w:multiLevelType w:val="hybridMultilevel"/>
    <w:tmpl w:val="A0964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611DE0"/>
    <w:multiLevelType w:val="hybridMultilevel"/>
    <w:tmpl w:val="AB86A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DB5C97"/>
    <w:multiLevelType w:val="hybridMultilevel"/>
    <w:tmpl w:val="9C8C2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64D70FB"/>
    <w:multiLevelType w:val="hybridMultilevel"/>
    <w:tmpl w:val="4654837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B352C85"/>
    <w:multiLevelType w:val="hybridMultilevel"/>
    <w:tmpl w:val="5AFCF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3E13E1"/>
    <w:multiLevelType w:val="hybridMultilevel"/>
    <w:tmpl w:val="7660D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EA1D23"/>
    <w:multiLevelType w:val="hybridMultilevel"/>
    <w:tmpl w:val="310C0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46443E"/>
    <w:multiLevelType w:val="hybridMultilevel"/>
    <w:tmpl w:val="642EB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6279E8"/>
    <w:multiLevelType w:val="hybridMultilevel"/>
    <w:tmpl w:val="17D81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ED2646"/>
    <w:multiLevelType w:val="hybridMultilevel"/>
    <w:tmpl w:val="F77CDC1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20"/>
  </w:num>
  <w:num w:numId="3">
    <w:abstractNumId w:val="1"/>
  </w:num>
  <w:num w:numId="4">
    <w:abstractNumId w:val="23"/>
  </w:num>
  <w:num w:numId="5">
    <w:abstractNumId w:val="6"/>
  </w:num>
  <w:num w:numId="6">
    <w:abstractNumId w:val="16"/>
  </w:num>
  <w:num w:numId="7">
    <w:abstractNumId w:val="13"/>
  </w:num>
  <w:num w:numId="8">
    <w:abstractNumId w:val="21"/>
  </w:num>
  <w:num w:numId="9">
    <w:abstractNumId w:val="14"/>
  </w:num>
  <w:num w:numId="10">
    <w:abstractNumId w:val="4"/>
  </w:num>
  <w:num w:numId="11">
    <w:abstractNumId w:val="9"/>
  </w:num>
  <w:num w:numId="12">
    <w:abstractNumId w:val="3"/>
  </w:num>
  <w:num w:numId="13">
    <w:abstractNumId w:val="17"/>
  </w:num>
  <w:num w:numId="14">
    <w:abstractNumId w:val="18"/>
  </w:num>
  <w:num w:numId="15">
    <w:abstractNumId w:val="11"/>
  </w:num>
  <w:num w:numId="16">
    <w:abstractNumId w:val="22"/>
  </w:num>
  <w:num w:numId="17">
    <w:abstractNumId w:val="12"/>
  </w:num>
  <w:num w:numId="18">
    <w:abstractNumId w:val="8"/>
  </w:num>
  <w:num w:numId="19">
    <w:abstractNumId w:val="0"/>
  </w:num>
  <w:num w:numId="20">
    <w:abstractNumId w:val="2"/>
  </w:num>
  <w:num w:numId="21">
    <w:abstractNumId w:val="7"/>
  </w:num>
  <w:num w:numId="22">
    <w:abstractNumId w:val="5"/>
  </w:num>
  <w:num w:numId="23">
    <w:abstractNumId w:val="19"/>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oNotTrackFormatting/>
  <w:defaultTabStop w:val="720"/>
  <w:clickAndTypeStyle w:val="NoSpac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QytDAyNrU0MDYxsTRQ0lEKTi0uzszPAykwNKwFAFQr3CgtAAAA"/>
  </w:docVars>
  <w:rsids>
    <w:rsidRoot w:val="004E727F"/>
    <w:rsid w:val="0000185B"/>
    <w:rsid w:val="00006C67"/>
    <w:rsid w:val="000154A2"/>
    <w:rsid w:val="00023AFB"/>
    <w:rsid w:val="00023EE1"/>
    <w:rsid w:val="00036C9B"/>
    <w:rsid w:val="0004394E"/>
    <w:rsid w:val="000469D3"/>
    <w:rsid w:val="00050C73"/>
    <w:rsid w:val="00057757"/>
    <w:rsid w:val="00076E72"/>
    <w:rsid w:val="00077A34"/>
    <w:rsid w:val="0009369F"/>
    <w:rsid w:val="000A41FC"/>
    <w:rsid w:val="000B2377"/>
    <w:rsid w:val="000B66A8"/>
    <w:rsid w:val="000B7EB7"/>
    <w:rsid w:val="000C028B"/>
    <w:rsid w:val="000C2083"/>
    <w:rsid w:val="000C4528"/>
    <w:rsid w:val="000D26C3"/>
    <w:rsid w:val="000D3AD8"/>
    <w:rsid w:val="000E3751"/>
    <w:rsid w:val="0010197F"/>
    <w:rsid w:val="00105ABD"/>
    <w:rsid w:val="00121B53"/>
    <w:rsid w:val="00131D7A"/>
    <w:rsid w:val="00132E73"/>
    <w:rsid w:val="001422F4"/>
    <w:rsid w:val="00142E64"/>
    <w:rsid w:val="00147297"/>
    <w:rsid w:val="0016190A"/>
    <w:rsid w:val="00162A24"/>
    <w:rsid w:val="00163921"/>
    <w:rsid w:val="00167BF1"/>
    <w:rsid w:val="0017365A"/>
    <w:rsid w:val="00173CE1"/>
    <w:rsid w:val="00173F97"/>
    <w:rsid w:val="00174ED6"/>
    <w:rsid w:val="001756B5"/>
    <w:rsid w:val="00175F12"/>
    <w:rsid w:val="0017766E"/>
    <w:rsid w:val="00187283"/>
    <w:rsid w:val="00190071"/>
    <w:rsid w:val="00197F59"/>
    <w:rsid w:val="001A057C"/>
    <w:rsid w:val="001A1A95"/>
    <w:rsid w:val="001B2E12"/>
    <w:rsid w:val="001B7B11"/>
    <w:rsid w:val="001C3DCE"/>
    <w:rsid w:val="001D135A"/>
    <w:rsid w:val="001D468A"/>
    <w:rsid w:val="001D6D01"/>
    <w:rsid w:val="001D722D"/>
    <w:rsid w:val="001E65B9"/>
    <w:rsid w:val="00202C26"/>
    <w:rsid w:val="00213767"/>
    <w:rsid w:val="00215561"/>
    <w:rsid w:val="00221556"/>
    <w:rsid w:val="00224A82"/>
    <w:rsid w:val="00224DE3"/>
    <w:rsid w:val="00242C33"/>
    <w:rsid w:val="002456E7"/>
    <w:rsid w:val="00252D34"/>
    <w:rsid w:val="00257D92"/>
    <w:rsid w:val="002605B4"/>
    <w:rsid w:val="0026089C"/>
    <w:rsid w:val="002764A0"/>
    <w:rsid w:val="00284561"/>
    <w:rsid w:val="00293F27"/>
    <w:rsid w:val="002A0445"/>
    <w:rsid w:val="002A6A91"/>
    <w:rsid w:val="002B6733"/>
    <w:rsid w:val="002B6A18"/>
    <w:rsid w:val="002C438C"/>
    <w:rsid w:val="002C6456"/>
    <w:rsid w:val="002C690D"/>
    <w:rsid w:val="002D5366"/>
    <w:rsid w:val="002E153A"/>
    <w:rsid w:val="002E2EBE"/>
    <w:rsid w:val="002E6758"/>
    <w:rsid w:val="002E798B"/>
    <w:rsid w:val="00304593"/>
    <w:rsid w:val="003052D2"/>
    <w:rsid w:val="00314322"/>
    <w:rsid w:val="0032020D"/>
    <w:rsid w:val="00323B93"/>
    <w:rsid w:val="00323D3F"/>
    <w:rsid w:val="00332898"/>
    <w:rsid w:val="0033379F"/>
    <w:rsid w:val="00336473"/>
    <w:rsid w:val="00354CB4"/>
    <w:rsid w:val="00357503"/>
    <w:rsid w:val="003645EB"/>
    <w:rsid w:val="00367C31"/>
    <w:rsid w:val="003702E5"/>
    <w:rsid w:val="003709CF"/>
    <w:rsid w:val="003810A6"/>
    <w:rsid w:val="00383B84"/>
    <w:rsid w:val="003840D6"/>
    <w:rsid w:val="0039364C"/>
    <w:rsid w:val="003B387F"/>
    <w:rsid w:val="003C0E36"/>
    <w:rsid w:val="003C12BE"/>
    <w:rsid w:val="003C22C5"/>
    <w:rsid w:val="003C7A54"/>
    <w:rsid w:val="003D1121"/>
    <w:rsid w:val="003D19A2"/>
    <w:rsid w:val="003D47AD"/>
    <w:rsid w:val="003D7247"/>
    <w:rsid w:val="003D78B6"/>
    <w:rsid w:val="003F0360"/>
    <w:rsid w:val="003F5A20"/>
    <w:rsid w:val="00404C3A"/>
    <w:rsid w:val="00405350"/>
    <w:rsid w:val="00414704"/>
    <w:rsid w:val="00424C60"/>
    <w:rsid w:val="00431A29"/>
    <w:rsid w:val="00445ECA"/>
    <w:rsid w:val="00465E72"/>
    <w:rsid w:val="00467800"/>
    <w:rsid w:val="00473C9A"/>
    <w:rsid w:val="004759C7"/>
    <w:rsid w:val="00482C5B"/>
    <w:rsid w:val="00484218"/>
    <w:rsid w:val="004A6C6E"/>
    <w:rsid w:val="004B0527"/>
    <w:rsid w:val="004B3ED5"/>
    <w:rsid w:val="004C488D"/>
    <w:rsid w:val="004C7BE0"/>
    <w:rsid w:val="004D12F8"/>
    <w:rsid w:val="004D1C92"/>
    <w:rsid w:val="004E2050"/>
    <w:rsid w:val="004E3EC8"/>
    <w:rsid w:val="004E727F"/>
    <w:rsid w:val="004F2C5D"/>
    <w:rsid w:val="004F778F"/>
    <w:rsid w:val="00504C32"/>
    <w:rsid w:val="0051597B"/>
    <w:rsid w:val="00523AEC"/>
    <w:rsid w:val="0053206B"/>
    <w:rsid w:val="00542365"/>
    <w:rsid w:val="00546F9D"/>
    <w:rsid w:val="00553F99"/>
    <w:rsid w:val="00554D24"/>
    <w:rsid w:val="00555EE7"/>
    <w:rsid w:val="00564FF5"/>
    <w:rsid w:val="0058103F"/>
    <w:rsid w:val="005967EA"/>
    <w:rsid w:val="005A1C0F"/>
    <w:rsid w:val="005A2B0B"/>
    <w:rsid w:val="005A7212"/>
    <w:rsid w:val="005A7EF1"/>
    <w:rsid w:val="005B278B"/>
    <w:rsid w:val="005C0D91"/>
    <w:rsid w:val="005C3FD0"/>
    <w:rsid w:val="005C5EB0"/>
    <w:rsid w:val="005D2B91"/>
    <w:rsid w:val="005D41A6"/>
    <w:rsid w:val="005E3F5B"/>
    <w:rsid w:val="005E60A5"/>
    <w:rsid w:val="005E7C6D"/>
    <w:rsid w:val="005E7C9D"/>
    <w:rsid w:val="005F07CF"/>
    <w:rsid w:val="0060683E"/>
    <w:rsid w:val="006075F5"/>
    <w:rsid w:val="006207E2"/>
    <w:rsid w:val="0063319D"/>
    <w:rsid w:val="00643431"/>
    <w:rsid w:val="00643B3A"/>
    <w:rsid w:val="00644C22"/>
    <w:rsid w:val="0065667E"/>
    <w:rsid w:val="00657AEC"/>
    <w:rsid w:val="00661BBF"/>
    <w:rsid w:val="006730D5"/>
    <w:rsid w:val="00680727"/>
    <w:rsid w:val="00686461"/>
    <w:rsid w:val="00687DE7"/>
    <w:rsid w:val="0069151E"/>
    <w:rsid w:val="006A1E97"/>
    <w:rsid w:val="006A2459"/>
    <w:rsid w:val="006A6CBB"/>
    <w:rsid w:val="006B27F1"/>
    <w:rsid w:val="006C7F80"/>
    <w:rsid w:val="006D2CB5"/>
    <w:rsid w:val="006D7A4B"/>
    <w:rsid w:val="006E0531"/>
    <w:rsid w:val="006E0A2B"/>
    <w:rsid w:val="006E2507"/>
    <w:rsid w:val="006E546C"/>
    <w:rsid w:val="006E752C"/>
    <w:rsid w:val="006F29C6"/>
    <w:rsid w:val="006F4AFF"/>
    <w:rsid w:val="00704383"/>
    <w:rsid w:val="0070754B"/>
    <w:rsid w:val="007075D6"/>
    <w:rsid w:val="007107AD"/>
    <w:rsid w:val="00714F11"/>
    <w:rsid w:val="00726492"/>
    <w:rsid w:val="00731DD0"/>
    <w:rsid w:val="007336DA"/>
    <w:rsid w:val="00733D6F"/>
    <w:rsid w:val="007467A7"/>
    <w:rsid w:val="007524CE"/>
    <w:rsid w:val="0075277D"/>
    <w:rsid w:val="00753C8C"/>
    <w:rsid w:val="0075405B"/>
    <w:rsid w:val="00757750"/>
    <w:rsid w:val="00760DFD"/>
    <w:rsid w:val="007679AC"/>
    <w:rsid w:val="00773753"/>
    <w:rsid w:val="007811EB"/>
    <w:rsid w:val="007932EE"/>
    <w:rsid w:val="00797FD9"/>
    <w:rsid w:val="007B38AF"/>
    <w:rsid w:val="007B437A"/>
    <w:rsid w:val="007B7363"/>
    <w:rsid w:val="007C17E9"/>
    <w:rsid w:val="007D03B2"/>
    <w:rsid w:val="007D03DA"/>
    <w:rsid w:val="007D434A"/>
    <w:rsid w:val="007D4FB3"/>
    <w:rsid w:val="007D57FE"/>
    <w:rsid w:val="007D5B5D"/>
    <w:rsid w:val="007E398A"/>
    <w:rsid w:val="007E734A"/>
    <w:rsid w:val="007E7BEC"/>
    <w:rsid w:val="007F3538"/>
    <w:rsid w:val="007F4D0D"/>
    <w:rsid w:val="007F7AF9"/>
    <w:rsid w:val="00814A96"/>
    <w:rsid w:val="00817D80"/>
    <w:rsid w:val="00825D5B"/>
    <w:rsid w:val="00835F23"/>
    <w:rsid w:val="00840BF8"/>
    <w:rsid w:val="00842B40"/>
    <w:rsid w:val="00844275"/>
    <w:rsid w:val="0085431F"/>
    <w:rsid w:val="00856A26"/>
    <w:rsid w:val="00864998"/>
    <w:rsid w:val="0086612F"/>
    <w:rsid w:val="008765C8"/>
    <w:rsid w:val="0087779C"/>
    <w:rsid w:val="00877850"/>
    <w:rsid w:val="00885573"/>
    <w:rsid w:val="0089093C"/>
    <w:rsid w:val="008946F4"/>
    <w:rsid w:val="008A2B60"/>
    <w:rsid w:val="008A3125"/>
    <w:rsid w:val="008A5283"/>
    <w:rsid w:val="008B0FEB"/>
    <w:rsid w:val="008B19F0"/>
    <w:rsid w:val="008B24DC"/>
    <w:rsid w:val="008B3A74"/>
    <w:rsid w:val="008C3F43"/>
    <w:rsid w:val="008D1299"/>
    <w:rsid w:val="008D5DBB"/>
    <w:rsid w:val="008D7C0D"/>
    <w:rsid w:val="008E04A3"/>
    <w:rsid w:val="008E57D2"/>
    <w:rsid w:val="008F69BA"/>
    <w:rsid w:val="00905272"/>
    <w:rsid w:val="00913E87"/>
    <w:rsid w:val="0092359E"/>
    <w:rsid w:val="00926FF2"/>
    <w:rsid w:val="0092769B"/>
    <w:rsid w:val="00934C7A"/>
    <w:rsid w:val="00950451"/>
    <w:rsid w:val="009506AA"/>
    <w:rsid w:val="00956638"/>
    <w:rsid w:val="00976C08"/>
    <w:rsid w:val="0098016A"/>
    <w:rsid w:val="009944D3"/>
    <w:rsid w:val="009A4A81"/>
    <w:rsid w:val="009B05F1"/>
    <w:rsid w:val="009B7361"/>
    <w:rsid w:val="009B79E3"/>
    <w:rsid w:val="009D348E"/>
    <w:rsid w:val="009D7972"/>
    <w:rsid w:val="009E1CB6"/>
    <w:rsid w:val="009E2390"/>
    <w:rsid w:val="009E55DC"/>
    <w:rsid w:val="009F0DD3"/>
    <w:rsid w:val="009F7F6C"/>
    <w:rsid w:val="00A021A2"/>
    <w:rsid w:val="00A03800"/>
    <w:rsid w:val="00A1050D"/>
    <w:rsid w:val="00A112AC"/>
    <w:rsid w:val="00A1277C"/>
    <w:rsid w:val="00A24E15"/>
    <w:rsid w:val="00A33207"/>
    <w:rsid w:val="00A33FA7"/>
    <w:rsid w:val="00A42202"/>
    <w:rsid w:val="00A44DD5"/>
    <w:rsid w:val="00A47055"/>
    <w:rsid w:val="00A50C00"/>
    <w:rsid w:val="00A521CF"/>
    <w:rsid w:val="00A55BFF"/>
    <w:rsid w:val="00A71840"/>
    <w:rsid w:val="00A72455"/>
    <w:rsid w:val="00A77444"/>
    <w:rsid w:val="00A879AB"/>
    <w:rsid w:val="00A91F60"/>
    <w:rsid w:val="00A95F9A"/>
    <w:rsid w:val="00AB2A0B"/>
    <w:rsid w:val="00AC0C1C"/>
    <w:rsid w:val="00AC5A5F"/>
    <w:rsid w:val="00AD507D"/>
    <w:rsid w:val="00AE3140"/>
    <w:rsid w:val="00AE5AED"/>
    <w:rsid w:val="00AE6519"/>
    <w:rsid w:val="00AF6504"/>
    <w:rsid w:val="00B04EF8"/>
    <w:rsid w:val="00B202D6"/>
    <w:rsid w:val="00B20962"/>
    <w:rsid w:val="00B21B67"/>
    <w:rsid w:val="00B3079F"/>
    <w:rsid w:val="00B333DC"/>
    <w:rsid w:val="00B34717"/>
    <w:rsid w:val="00B35823"/>
    <w:rsid w:val="00B36768"/>
    <w:rsid w:val="00B4171B"/>
    <w:rsid w:val="00B4179C"/>
    <w:rsid w:val="00B43608"/>
    <w:rsid w:val="00B512C6"/>
    <w:rsid w:val="00B518C1"/>
    <w:rsid w:val="00B54AAB"/>
    <w:rsid w:val="00B64014"/>
    <w:rsid w:val="00B64C91"/>
    <w:rsid w:val="00B674C0"/>
    <w:rsid w:val="00B722BD"/>
    <w:rsid w:val="00B8254D"/>
    <w:rsid w:val="00B82EA8"/>
    <w:rsid w:val="00B93A8B"/>
    <w:rsid w:val="00BA0755"/>
    <w:rsid w:val="00BB4AAB"/>
    <w:rsid w:val="00BC0EA4"/>
    <w:rsid w:val="00BC56C5"/>
    <w:rsid w:val="00BD2E6C"/>
    <w:rsid w:val="00BD66E3"/>
    <w:rsid w:val="00BD7538"/>
    <w:rsid w:val="00BE1150"/>
    <w:rsid w:val="00BE37A9"/>
    <w:rsid w:val="00BF418F"/>
    <w:rsid w:val="00C170C6"/>
    <w:rsid w:val="00C27D8D"/>
    <w:rsid w:val="00C501A9"/>
    <w:rsid w:val="00C51BDC"/>
    <w:rsid w:val="00C57E13"/>
    <w:rsid w:val="00C604B2"/>
    <w:rsid w:val="00C633EB"/>
    <w:rsid w:val="00C65105"/>
    <w:rsid w:val="00C71E60"/>
    <w:rsid w:val="00C72819"/>
    <w:rsid w:val="00C735F5"/>
    <w:rsid w:val="00C74475"/>
    <w:rsid w:val="00C77FE7"/>
    <w:rsid w:val="00C814A6"/>
    <w:rsid w:val="00C82285"/>
    <w:rsid w:val="00C85C80"/>
    <w:rsid w:val="00C85F91"/>
    <w:rsid w:val="00C8663A"/>
    <w:rsid w:val="00C87252"/>
    <w:rsid w:val="00C918D9"/>
    <w:rsid w:val="00C92A87"/>
    <w:rsid w:val="00C94D6F"/>
    <w:rsid w:val="00C95F05"/>
    <w:rsid w:val="00CA010D"/>
    <w:rsid w:val="00CA044E"/>
    <w:rsid w:val="00CA77A9"/>
    <w:rsid w:val="00CB2B36"/>
    <w:rsid w:val="00CC2F95"/>
    <w:rsid w:val="00CC3889"/>
    <w:rsid w:val="00CC458B"/>
    <w:rsid w:val="00CC473E"/>
    <w:rsid w:val="00CC7BD9"/>
    <w:rsid w:val="00CE03B3"/>
    <w:rsid w:val="00CE4D5D"/>
    <w:rsid w:val="00CF1929"/>
    <w:rsid w:val="00CF2A07"/>
    <w:rsid w:val="00CF7ABF"/>
    <w:rsid w:val="00D0512E"/>
    <w:rsid w:val="00D074FE"/>
    <w:rsid w:val="00D10F91"/>
    <w:rsid w:val="00D1516A"/>
    <w:rsid w:val="00D2367C"/>
    <w:rsid w:val="00D26776"/>
    <w:rsid w:val="00D32957"/>
    <w:rsid w:val="00D36926"/>
    <w:rsid w:val="00D44909"/>
    <w:rsid w:val="00D47B34"/>
    <w:rsid w:val="00D72DE6"/>
    <w:rsid w:val="00D73A1D"/>
    <w:rsid w:val="00D76300"/>
    <w:rsid w:val="00D90591"/>
    <w:rsid w:val="00D9467A"/>
    <w:rsid w:val="00D94C91"/>
    <w:rsid w:val="00D957AD"/>
    <w:rsid w:val="00D96E61"/>
    <w:rsid w:val="00DB663D"/>
    <w:rsid w:val="00DD4062"/>
    <w:rsid w:val="00DD75F0"/>
    <w:rsid w:val="00DE2C50"/>
    <w:rsid w:val="00DE477D"/>
    <w:rsid w:val="00DE63C1"/>
    <w:rsid w:val="00DF3D3A"/>
    <w:rsid w:val="00E13314"/>
    <w:rsid w:val="00E169D2"/>
    <w:rsid w:val="00E20E09"/>
    <w:rsid w:val="00E362A4"/>
    <w:rsid w:val="00E44D62"/>
    <w:rsid w:val="00E532BC"/>
    <w:rsid w:val="00E622BB"/>
    <w:rsid w:val="00E644F4"/>
    <w:rsid w:val="00E660A3"/>
    <w:rsid w:val="00E77E85"/>
    <w:rsid w:val="00E83930"/>
    <w:rsid w:val="00E8424C"/>
    <w:rsid w:val="00E844AF"/>
    <w:rsid w:val="00E874E3"/>
    <w:rsid w:val="00E9231D"/>
    <w:rsid w:val="00E932DE"/>
    <w:rsid w:val="00E94CF8"/>
    <w:rsid w:val="00E964C2"/>
    <w:rsid w:val="00EA60FE"/>
    <w:rsid w:val="00EA626F"/>
    <w:rsid w:val="00EB1CCA"/>
    <w:rsid w:val="00EB6D6E"/>
    <w:rsid w:val="00EC666B"/>
    <w:rsid w:val="00EC6C25"/>
    <w:rsid w:val="00EE772F"/>
    <w:rsid w:val="00EF0209"/>
    <w:rsid w:val="00EF4597"/>
    <w:rsid w:val="00F013C1"/>
    <w:rsid w:val="00F02557"/>
    <w:rsid w:val="00F078AD"/>
    <w:rsid w:val="00F121C6"/>
    <w:rsid w:val="00F14AD1"/>
    <w:rsid w:val="00F14B79"/>
    <w:rsid w:val="00F17329"/>
    <w:rsid w:val="00F27851"/>
    <w:rsid w:val="00F27E26"/>
    <w:rsid w:val="00F305FE"/>
    <w:rsid w:val="00F40AD6"/>
    <w:rsid w:val="00F4425C"/>
    <w:rsid w:val="00F56F7A"/>
    <w:rsid w:val="00F634F5"/>
    <w:rsid w:val="00F73B15"/>
    <w:rsid w:val="00F76633"/>
    <w:rsid w:val="00F76F55"/>
    <w:rsid w:val="00F83081"/>
    <w:rsid w:val="00F85F66"/>
    <w:rsid w:val="00FB02FD"/>
    <w:rsid w:val="00FB2D92"/>
    <w:rsid w:val="00FB3951"/>
    <w:rsid w:val="00FB5A51"/>
    <w:rsid w:val="00FC09B5"/>
    <w:rsid w:val="00FC2C2C"/>
    <w:rsid w:val="00FD0F55"/>
    <w:rsid w:val="00FD61F3"/>
    <w:rsid w:val="00FD68C7"/>
    <w:rsid w:val="00FE0438"/>
    <w:rsid w:val="00FE2D94"/>
    <w:rsid w:val="00FE7C0D"/>
    <w:rsid w:val="00FF1BAB"/>
    <w:rsid w:val="00FF4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D021D9"/>
  <w15:docId w15:val="{BF9B7F7B-769B-49A1-8782-F96F0971D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921"/>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3EC8"/>
    <w:rPr>
      <w:sz w:val="22"/>
      <w:szCs w:val="22"/>
    </w:rPr>
  </w:style>
  <w:style w:type="paragraph" w:styleId="ListParagraph">
    <w:name w:val="List Paragraph"/>
    <w:basedOn w:val="Normal"/>
    <w:uiPriority w:val="34"/>
    <w:qFormat/>
    <w:rsid w:val="003840D6"/>
    <w:pPr>
      <w:ind w:left="720"/>
      <w:contextualSpacing/>
    </w:pPr>
  </w:style>
  <w:style w:type="character" w:styleId="Hyperlink">
    <w:name w:val="Hyperlink"/>
    <w:uiPriority w:val="99"/>
    <w:unhideWhenUsed/>
    <w:rsid w:val="001756B5"/>
    <w:rPr>
      <w:color w:val="0000FF"/>
      <w:u w:val="single"/>
    </w:rPr>
  </w:style>
  <w:style w:type="paragraph" w:styleId="Header">
    <w:name w:val="header"/>
    <w:basedOn w:val="Normal"/>
    <w:link w:val="HeaderChar"/>
    <w:uiPriority w:val="99"/>
    <w:unhideWhenUsed/>
    <w:rsid w:val="00D72DE6"/>
    <w:pPr>
      <w:tabs>
        <w:tab w:val="center" w:pos="4680"/>
        <w:tab w:val="right" w:pos="9360"/>
      </w:tabs>
    </w:pPr>
  </w:style>
  <w:style w:type="character" w:customStyle="1" w:styleId="HeaderChar">
    <w:name w:val="Header Char"/>
    <w:basedOn w:val="DefaultParagraphFont"/>
    <w:link w:val="Header"/>
    <w:uiPriority w:val="99"/>
    <w:rsid w:val="00D72DE6"/>
  </w:style>
  <w:style w:type="paragraph" w:styleId="Footer">
    <w:name w:val="footer"/>
    <w:basedOn w:val="Normal"/>
    <w:link w:val="FooterChar"/>
    <w:uiPriority w:val="99"/>
    <w:unhideWhenUsed/>
    <w:rsid w:val="00D72DE6"/>
    <w:pPr>
      <w:tabs>
        <w:tab w:val="center" w:pos="4680"/>
        <w:tab w:val="right" w:pos="9360"/>
      </w:tabs>
    </w:pPr>
  </w:style>
  <w:style w:type="character" w:customStyle="1" w:styleId="FooterChar">
    <w:name w:val="Footer Char"/>
    <w:basedOn w:val="DefaultParagraphFont"/>
    <w:link w:val="Footer"/>
    <w:uiPriority w:val="99"/>
    <w:rsid w:val="00D72DE6"/>
  </w:style>
  <w:style w:type="paragraph" w:styleId="Revision">
    <w:name w:val="Revision"/>
    <w:hidden/>
    <w:uiPriority w:val="99"/>
    <w:semiHidden/>
    <w:rsid w:val="00C170C6"/>
    <w:rPr>
      <w:sz w:val="22"/>
      <w:szCs w:val="22"/>
    </w:rPr>
  </w:style>
  <w:style w:type="paragraph" w:styleId="BalloonText">
    <w:name w:val="Balloon Text"/>
    <w:basedOn w:val="Normal"/>
    <w:link w:val="BalloonTextChar"/>
    <w:uiPriority w:val="99"/>
    <w:semiHidden/>
    <w:unhideWhenUsed/>
    <w:rsid w:val="00C170C6"/>
    <w:rPr>
      <w:rFonts w:ascii="Tahoma" w:hAnsi="Tahoma" w:cs="Tahoma"/>
      <w:sz w:val="16"/>
      <w:szCs w:val="16"/>
    </w:rPr>
  </w:style>
  <w:style w:type="character" w:customStyle="1" w:styleId="BalloonTextChar">
    <w:name w:val="Balloon Text Char"/>
    <w:link w:val="BalloonText"/>
    <w:uiPriority w:val="99"/>
    <w:semiHidden/>
    <w:rsid w:val="00C170C6"/>
    <w:rPr>
      <w:rFonts w:ascii="Tahoma" w:hAnsi="Tahoma" w:cs="Tahoma"/>
      <w:sz w:val="16"/>
      <w:szCs w:val="16"/>
    </w:rPr>
  </w:style>
  <w:style w:type="table" w:styleId="TableGrid">
    <w:name w:val="Table Grid"/>
    <w:basedOn w:val="TableNormal"/>
    <w:uiPriority w:val="59"/>
    <w:rsid w:val="00E133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6E752C"/>
    <w:rPr>
      <w:color w:val="954F72" w:themeColor="followedHyperlink"/>
      <w:u w:val="single"/>
    </w:rPr>
  </w:style>
  <w:style w:type="character" w:customStyle="1" w:styleId="UnresolvedMention1">
    <w:name w:val="Unresolved Mention1"/>
    <w:basedOn w:val="DefaultParagraphFont"/>
    <w:uiPriority w:val="99"/>
    <w:semiHidden/>
    <w:unhideWhenUsed/>
    <w:rsid w:val="00C72819"/>
    <w:rPr>
      <w:color w:val="605E5C"/>
      <w:shd w:val="clear" w:color="auto" w:fill="E1DFDD"/>
    </w:rPr>
  </w:style>
  <w:style w:type="character" w:styleId="CommentReference">
    <w:name w:val="annotation reference"/>
    <w:basedOn w:val="DefaultParagraphFont"/>
    <w:uiPriority w:val="99"/>
    <w:semiHidden/>
    <w:unhideWhenUsed/>
    <w:rsid w:val="00482C5B"/>
    <w:rPr>
      <w:sz w:val="16"/>
      <w:szCs w:val="16"/>
    </w:rPr>
  </w:style>
  <w:style w:type="paragraph" w:styleId="CommentText">
    <w:name w:val="annotation text"/>
    <w:basedOn w:val="Normal"/>
    <w:link w:val="CommentTextChar"/>
    <w:uiPriority w:val="99"/>
    <w:semiHidden/>
    <w:unhideWhenUsed/>
    <w:rsid w:val="00482C5B"/>
    <w:rPr>
      <w:sz w:val="20"/>
      <w:szCs w:val="20"/>
    </w:rPr>
  </w:style>
  <w:style w:type="character" w:customStyle="1" w:styleId="CommentTextChar">
    <w:name w:val="Comment Text Char"/>
    <w:basedOn w:val="DefaultParagraphFont"/>
    <w:link w:val="CommentText"/>
    <w:uiPriority w:val="99"/>
    <w:semiHidden/>
    <w:rsid w:val="00482C5B"/>
  </w:style>
  <w:style w:type="paragraph" w:styleId="CommentSubject">
    <w:name w:val="annotation subject"/>
    <w:basedOn w:val="CommentText"/>
    <w:next w:val="CommentText"/>
    <w:link w:val="CommentSubjectChar"/>
    <w:uiPriority w:val="99"/>
    <w:semiHidden/>
    <w:unhideWhenUsed/>
    <w:rsid w:val="00482C5B"/>
    <w:rPr>
      <w:b/>
      <w:bCs/>
    </w:rPr>
  </w:style>
  <w:style w:type="character" w:customStyle="1" w:styleId="CommentSubjectChar">
    <w:name w:val="Comment Subject Char"/>
    <w:basedOn w:val="CommentTextChar"/>
    <w:link w:val="CommentSubject"/>
    <w:uiPriority w:val="99"/>
    <w:semiHidden/>
    <w:rsid w:val="00482C5B"/>
    <w:rPr>
      <w:b/>
      <w:bCs/>
    </w:rPr>
  </w:style>
  <w:style w:type="character" w:styleId="UnresolvedMention">
    <w:name w:val="Unresolved Mention"/>
    <w:basedOn w:val="DefaultParagraphFont"/>
    <w:uiPriority w:val="99"/>
    <w:semiHidden/>
    <w:unhideWhenUsed/>
    <w:rsid w:val="00C822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331387">
      <w:bodyDiv w:val="1"/>
      <w:marLeft w:val="0"/>
      <w:marRight w:val="0"/>
      <w:marTop w:val="0"/>
      <w:marBottom w:val="0"/>
      <w:divBdr>
        <w:top w:val="none" w:sz="0" w:space="0" w:color="auto"/>
        <w:left w:val="none" w:sz="0" w:space="0" w:color="auto"/>
        <w:bottom w:val="none" w:sz="0" w:space="0" w:color="auto"/>
        <w:right w:val="none" w:sz="0" w:space="0" w:color="auto"/>
      </w:divBdr>
    </w:div>
    <w:div w:id="151823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IRBSubmit@tcu.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2A2B2-C4F4-46D7-801D-1BC5E777D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764</Words>
  <Characters>4180</Characters>
  <Application>Microsoft Office Word</Application>
  <DocSecurity>0</DocSecurity>
  <Lines>95</Lines>
  <Paragraphs>28</Paragraphs>
  <ScaleCrop>false</ScaleCrop>
  <HeadingPairs>
    <vt:vector size="2" baseType="variant">
      <vt:variant>
        <vt:lpstr>Title</vt:lpstr>
      </vt:variant>
      <vt:variant>
        <vt:i4>1</vt:i4>
      </vt:variant>
    </vt:vector>
  </HeadingPairs>
  <TitlesOfParts>
    <vt:vector size="1" baseType="lpstr">
      <vt:lpstr/>
    </vt:vector>
  </TitlesOfParts>
  <Company>Texas Christian University</Company>
  <LinksUpToDate>false</LinksUpToDate>
  <CharactersWithSpaces>4948</CharactersWithSpaces>
  <SharedDoc>false</SharedDoc>
  <HLinks>
    <vt:vector size="24" baseType="variant">
      <vt:variant>
        <vt:i4>91</vt:i4>
      </vt:variant>
      <vt:variant>
        <vt:i4>75</vt:i4>
      </vt:variant>
      <vt:variant>
        <vt:i4>0</vt:i4>
      </vt:variant>
      <vt:variant>
        <vt:i4>5</vt:i4>
      </vt:variant>
      <vt:variant>
        <vt:lpwstr>http://www.research.tcu.edu/</vt:lpwstr>
      </vt:variant>
      <vt:variant>
        <vt:lpwstr/>
      </vt:variant>
      <vt:variant>
        <vt:i4>91</vt:i4>
      </vt:variant>
      <vt:variant>
        <vt:i4>72</vt:i4>
      </vt:variant>
      <vt:variant>
        <vt:i4>0</vt:i4>
      </vt:variant>
      <vt:variant>
        <vt:i4>5</vt:i4>
      </vt:variant>
      <vt:variant>
        <vt:lpwstr>http://www.research.tcu.edu/</vt:lpwstr>
      </vt:variant>
      <vt:variant>
        <vt:lpwstr/>
      </vt:variant>
      <vt:variant>
        <vt:i4>65544</vt:i4>
      </vt:variant>
      <vt:variant>
        <vt:i4>3</vt:i4>
      </vt:variant>
      <vt:variant>
        <vt:i4>0</vt:i4>
      </vt:variant>
      <vt:variant>
        <vt:i4>5</vt:i4>
      </vt:variant>
      <vt:variant>
        <vt:lpwstr>mailto:https://research.tcu.edu/research-compliance/irb/</vt:lpwstr>
      </vt:variant>
      <vt:variant>
        <vt:lpwstr/>
      </vt:variant>
      <vt:variant>
        <vt:i4>1310761</vt:i4>
      </vt:variant>
      <vt:variant>
        <vt:i4>0</vt:i4>
      </vt:variant>
      <vt:variant>
        <vt:i4>0</vt:i4>
      </vt:variant>
      <vt:variant>
        <vt:i4>5</vt:i4>
      </vt:variant>
      <vt:variant>
        <vt:lpwstr>mailto:IRBSubmit@tcu.edu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George, Weldon</cp:lastModifiedBy>
  <cp:revision>2</cp:revision>
  <cp:lastPrinted>2008-12-17T20:28:00Z</cp:lastPrinted>
  <dcterms:created xsi:type="dcterms:W3CDTF">2024-08-16T19:25:00Z</dcterms:created>
  <dcterms:modified xsi:type="dcterms:W3CDTF">2024-08-16T19:25:00Z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299946ededbabc9de3da11477a07d865cfdb3b5f1fb04fbc0e844331c3f6b897</vt:lpwstr>
  </property>
</Properties>
</file>