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3FBCE" w14:textId="763E46C7" w:rsidR="00B236A9" w:rsidRDefault="00B236A9" w:rsidP="00B236A9">
      <w:pPr>
        <w:pStyle w:val="NoSpacing"/>
        <w:jc w:val="center"/>
        <w:rPr>
          <w:b/>
          <w:sz w:val="32"/>
          <w:szCs w:val="32"/>
        </w:rPr>
      </w:pPr>
      <w:r>
        <w:rPr>
          <w:b/>
          <w:noProof/>
          <w:sz w:val="32"/>
          <w:szCs w:val="32"/>
          <w:lang w:val="en-GB" w:eastAsia="en-GB"/>
        </w:rPr>
        <w:drawing>
          <wp:anchor distT="0" distB="0" distL="114300" distR="114300" simplePos="0" relativeHeight="251658240" behindDoc="1" locked="0" layoutInCell="1" allowOverlap="1" wp14:anchorId="75D4FACB" wp14:editId="0257F6F2">
            <wp:simplePos x="0" y="0"/>
            <wp:positionH relativeFrom="column">
              <wp:posOffset>2295525</wp:posOffset>
            </wp:positionH>
            <wp:positionV relativeFrom="paragraph">
              <wp:posOffset>-742950</wp:posOffset>
            </wp:positionV>
            <wp:extent cx="1304925" cy="666750"/>
            <wp:effectExtent l="0" t="0" r="0" b="0"/>
            <wp:wrapNone/>
            <wp:docPr id="3" name="Picture 1" descr="TCUwOutline2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UwOutline268.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szCs w:val="32"/>
        </w:rPr>
        <w:t xml:space="preserve">Contents of a 510(k) Premarket Notification   </w:t>
      </w:r>
    </w:p>
    <w:p w14:paraId="298FC13D" w14:textId="77777777" w:rsidR="00B236A9" w:rsidRDefault="00B236A9" w:rsidP="00B236A9">
      <w:pPr>
        <w:pStyle w:val="NoSpacing"/>
        <w:rPr>
          <w:b/>
          <w:sz w:val="32"/>
          <w:szCs w:val="32"/>
        </w:rPr>
      </w:pPr>
      <w:r>
        <w:rPr>
          <w:b/>
          <w:noProof/>
          <w:sz w:val="32"/>
          <w:szCs w:val="32"/>
        </w:rPr>
        <w:tab/>
      </w:r>
      <w:r>
        <w:rPr>
          <w:b/>
          <w:noProof/>
          <w:sz w:val="32"/>
          <w:szCs w:val="32"/>
        </w:rPr>
        <w:tab/>
      </w:r>
      <w:r>
        <w:rPr>
          <w:b/>
          <w:noProof/>
          <w:sz w:val="32"/>
          <w:szCs w:val="32"/>
        </w:rPr>
        <w:tab/>
      </w:r>
      <w:r>
        <w:rPr>
          <w:b/>
          <w:noProof/>
          <w:sz w:val="32"/>
          <w:szCs w:val="32"/>
          <w:lang w:val="en-GB" w:eastAsia="en-GB"/>
        </w:rPr>
        <mc:AlternateContent>
          <mc:Choice Requires="wps">
            <w:drawing>
              <wp:anchor distT="0" distB="0" distL="114300" distR="114300" simplePos="0" relativeHeight="251657216" behindDoc="0" locked="0" layoutInCell="1" allowOverlap="1" wp14:anchorId="30D779B8" wp14:editId="03A957F1">
                <wp:simplePos x="0" y="0"/>
                <wp:positionH relativeFrom="column">
                  <wp:posOffset>9525</wp:posOffset>
                </wp:positionH>
                <wp:positionV relativeFrom="paragraph">
                  <wp:posOffset>42545</wp:posOffset>
                </wp:positionV>
                <wp:extent cx="6115050" cy="0"/>
                <wp:effectExtent l="9525" t="10795" r="9525" b="177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71307A" id="_x0000_t32" coordsize="21600,21600" o:spt="32" o:oned="t" path="m,l21600,21600e" filled="f">
                <v:path arrowok="t" fillok="f" o:connecttype="none"/>
                <o:lock v:ext="edit" shapetype="t"/>
              </v:shapetype>
              <v:shape id="AutoShape 2" o:spid="_x0000_s1026" type="#_x0000_t32" style="position:absolute;margin-left:.75pt;margin-top:3.35pt;width:48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" strokeweight="1.5pt"/>
            </w:pict>
          </mc:Fallback>
        </mc:AlternateContent>
      </w:r>
    </w:p>
    <w:tbl>
      <w:tblPr>
        <w:tblStyle w:val="TableGrid"/>
        <w:tblW w:w="0" w:type="auto"/>
        <w:tblLook w:val="04A0" w:firstRow="1" w:lastRow="0" w:firstColumn="1" w:lastColumn="0" w:noHBand="0" w:noVBand="1"/>
      </w:tblPr>
      <w:tblGrid>
        <w:gridCol w:w="9350"/>
      </w:tblGrid>
      <w:tr w:rsidR="00B10E03" w14:paraId="4B24D827" w14:textId="77777777" w:rsidTr="00664BD4">
        <w:trPr>
          <w:trHeight w:val="557"/>
        </w:trPr>
        <w:tc>
          <w:tcPr>
            <w:tcW w:w="9350" w:type="dxa"/>
            <w:shd w:val="clear" w:color="auto" w:fill="7030A0"/>
          </w:tcPr>
          <w:p w14:paraId="20D29EDA" w14:textId="5C622F4A" w:rsidR="00B10E03" w:rsidRPr="00501890" w:rsidRDefault="00B10E03" w:rsidP="00664BD4">
            <w:pPr>
              <w:rPr>
                <w:rFonts w:ascii="Times New Roman" w:hAnsi="Times New Roman"/>
                <w:b/>
                <w:bCs/>
                <w:sz w:val="32"/>
                <w:szCs w:val="32"/>
              </w:rPr>
            </w:pPr>
            <w:bookmarkStart w:id="0" w:name="_Hlk163217782"/>
            <w:r>
              <w:rPr>
                <w:rFonts w:ascii="Times New Roman" w:hAnsi="Times New Roman"/>
                <w:b/>
                <w:bCs/>
                <w:color w:val="E7E6E6" w:themeColor="background2"/>
                <w:sz w:val="40"/>
                <w:szCs w:val="40"/>
              </w:rPr>
              <w:t xml:space="preserve">What to Include in a </w:t>
            </w:r>
            <w:r w:rsidRPr="0072318B">
              <w:rPr>
                <w:rFonts w:ascii="Times New Roman" w:hAnsi="Times New Roman"/>
                <w:b/>
                <w:bCs/>
                <w:color w:val="E7E6E6" w:themeColor="background2"/>
                <w:sz w:val="40"/>
                <w:szCs w:val="40"/>
              </w:rPr>
              <w:t xml:space="preserve">510(k) Premarket </w:t>
            </w:r>
            <w:r>
              <w:rPr>
                <w:rFonts w:ascii="Times New Roman" w:hAnsi="Times New Roman"/>
                <w:b/>
                <w:bCs/>
                <w:color w:val="E7E6E6" w:themeColor="background2"/>
                <w:sz w:val="40"/>
                <w:szCs w:val="40"/>
              </w:rPr>
              <w:t>Notification</w:t>
            </w:r>
          </w:p>
        </w:tc>
      </w:tr>
      <w:bookmarkEnd w:id="0"/>
    </w:tbl>
    <w:p w14:paraId="0AF50BDE" w14:textId="77777777" w:rsidR="00B236A9" w:rsidRPr="00FB3951" w:rsidRDefault="00B236A9" w:rsidP="00B236A9">
      <w:pPr>
        <w:pStyle w:val="NoSpacing"/>
        <w:ind w:left="765"/>
        <w:jc w:val="both"/>
      </w:pPr>
    </w:p>
    <w:p w14:paraId="6D55D3BD" w14:textId="7C377AFB" w:rsidR="00381F66" w:rsidRDefault="00B10E03" w:rsidP="00B10E03">
      <w:pPr>
        <w:pStyle w:val="ListParagraph"/>
        <w:numPr>
          <w:ilvl w:val="0"/>
          <w:numId w:val="1"/>
        </w:numPr>
        <w:rPr>
          <w:rFonts w:ascii="Times New Roman" w:hAnsi="Times New Roman"/>
          <w:sz w:val="24"/>
          <w:szCs w:val="24"/>
        </w:rPr>
      </w:pPr>
      <w:r w:rsidRPr="00B10E03">
        <w:rPr>
          <w:rFonts w:ascii="Times New Roman" w:hAnsi="Times New Roman"/>
          <w:sz w:val="24"/>
          <w:szCs w:val="24"/>
        </w:rPr>
        <w:t>Format and information required in 510(k) premarket notification are in:</w:t>
      </w:r>
    </w:p>
    <w:p w14:paraId="7775F441" w14:textId="0E04D1C5" w:rsidR="00B10E03" w:rsidRPr="00B10E03" w:rsidRDefault="00B10E03" w:rsidP="00B10E03">
      <w:pPr>
        <w:pStyle w:val="ListParagraph"/>
        <w:numPr>
          <w:ilvl w:val="1"/>
          <w:numId w:val="1"/>
        </w:numPr>
        <w:rPr>
          <w:rFonts w:ascii="Times New Roman" w:hAnsi="Times New Roman"/>
          <w:b/>
          <w:bCs/>
          <w:sz w:val="24"/>
          <w:szCs w:val="24"/>
        </w:rPr>
      </w:pPr>
      <w:r w:rsidRPr="00B10E03">
        <w:rPr>
          <w:rFonts w:ascii="Times New Roman" w:hAnsi="Times New Roman"/>
          <w:b/>
          <w:bCs/>
          <w:sz w:val="24"/>
          <w:szCs w:val="24"/>
        </w:rPr>
        <w:t>21 CFR 807.87</w:t>
      </w:r>
    </w:p>
    <w:p w14:paraId="69F0327A" w14:textId="5808DF66" w:rsidR="00B10E03" w:rsidRDefault="00B10E03" w:rsidP="00B10E03">
      <w:pPr>
        <w:pStyle w:val="ListParagraph"/>
        <w:numPr>
          <w:ilvl w:val="2"/>
          <w:numId w:val="1"/>
        </w:numPr>
        <w:rPr>
          <w:rFonts w:ascii="Times New Roman" w:hAnsi="Times New Roman"/>
          <w:sz w:val="24"/>
          <w:szCs w:val="24"/>
        </w:rPr>
      </w:pPr>
      <w:r w:rsidRPr="00B10E03">
        <w:rPr>
          <w:rFonts w:ascii="Times New Roman" w:hAnsi="Times New Roman"/>
          <w:sz w:val="24"/>
          <w:szCs w:val="24"/>
        </w:rPr>
        <w:t xml:space="preserve">This section outlines the specific </w:t>
      </w:r>
      <w:r w:rsidRPr="00B10E03">
        <w:rPr>
          <w:rFonts w:ascii="Times New Roman" w:hAnsi="Times New Roman"/>
          <w:sz w:val="24"/>
          <w:szCs w:val="24"/>
          <w:u w:val="thick"/>
        </w:rPr>
        <w:t>information required</w:t>
      </w:r>
      <w:r w:rsidRPr="00B10E03">
        <w:rPr>
          <w:rFonts w:ascii="Times New Roman" w:hAnsi="Times New Roman"/>
          <w:sz w:val="24"/>
          <w:szCs w:val="24"/>
        </w:rPr>
        <w:t xml:space="preserve"> in a 510(k) submission. This includes details like the device name, classification, description, intended use, labeling, and information on how the device compares to an already approved device (predicate device)</w:t>
      </w:r>
    </w:p>
    <w:p w14:paraId="359B7238" w14:textId="479D8A14" w:rsidR="00B10E03" w:rsidRPr="00B10E03" w:rsidRDefault="00B10E03" w:rsidP="00B10E03">
      <w:pPr>
        <w:pStyle w:val="ListParagraph"/>
        <w:numPr>
          <w:ilvl w:val="1"/>
          <w:numId w:val="1"/>
        </w:numPr>
        <w:rPr>
          <w:rFonts w:ascii="Times New Roman" w:hAnsi="Times New Roman"/>
          <w:b/>
          <w:bCs/>
          <w:sz w:val="24"/>
          <w:szCs w:val="24"/>
        </w:rPr>
      </w:pPr>
      <w:r w:rsidRPr="00B10E03">
        <w:rPr>
          <w:rFonts w:ascii="Times New Roman" w:hAnsi="Times New Roman"/>
          <w:b/>
          <w:bCs/>
          <w:sz w:val="24"/>
          <w:szCs w:val="24"/>
        </w:rPr>
        <w:t>21 CFR 807.90</w:t>
      </w:r>
    </w:p>
    <w:p w14:paraId="01C6ED3F" w14:textId="583AEE2B" w:rsidR="00B10E03" w:rsidRDefault="00B10E03" w:rsidP="00B10E03">
      <w:pPr>
        <w:pStyle w:val="ListParagraph"/>
        <w:numPr>
          <w:ilvl w:val="2"/>
          <w:numId w:val="1"/>
        </w:numPr>
        <w:rPr>
          <w:rFonts w:ascii="Times New Roman" w:hAnsi="Times New Roman"/>
          <w:sz w:val="24"/>
          <w:szCs w:val="24"/>
        </w:rPr>
      </w:pPr>
      <w:r w:rsidRPr="00B10E03">
        <w:rPr>
          <w:rFonts w:ascii="Times New Roman" w:hAnsi="Times New Roman"/>
          <w:sz w:val="24"/>
          <w:szCs w:val="24"/>
        </w:rPr>
        <w:t xml:space="preserve">This section focuses on the </w:t>
      </w:r>
      <w:r w:rsidRPr="00B10E03">
        <w:rPr>
          <w:rFonts w:ascii="Times New Roman" w:hAnsi="Times New Roman"/>
          <w:sz w:val="24"/>
          <w:szCs w:val="24"/>
          <w:u w:val="thick"/>
        </w:rPr>
        <w:t>format</w:t>
      </w:r>
      <w:r w:rsidRPr="00B10E03">
        <w:rPr>
          <w:rFonts w:ascii="Times New Roman" w:hAnsi="Times New Roman"/>
          <w:sz w:val="24"/>
          <w:szCs w:val="24"/>
        </w:rPr>
        <w:t xml:space="preserve"> of the 510(k) submission. It specifies where to submit the notification and the format for various elements like the cover sheet and technical information</w:t>
      </w:r>
      <w:r>
        <w:rPr>
          <w:rFonts w:ascii="Times New Roman" w:hAnsi="Times New Roman"/>
          <w:sz w:val="24"/>
          <w:szCs w:val="24"/>
        </w:rPr>
        <w:t>.</w:t>
      </w:r>
    </w:p>
    <w:p w14:paraId="0BBA13B9" w14:textId="67CFD59D" w:rsidR="00B10E03" w:rsidRPr="00B10E03" w:rsidRDefault="00B10E03" w:rsidP="00B10E03">
      <w:pPr>
        <w:pStyle w:val="ListParagraph"/>
        <w:numPr>
          <w:ilvl w:val="1"/>
          <w:numId w:val="1"/>
        </w:numPr>
        <w:rPr>
          <w:rFonts w:ascii="Times New Roman" w:hAnsi="Times New Roman"/>
          <w:b/>
          <w:bCs/>
          <w:sz w:val="24"/>
          <w:szCs w:val="24"/>
        </w:rPr>
      </w:pPr>
      <w:r w:rsidRPr="00B10E03">
        <w:rPr>
          <w:rFonts w:ascii="Times New Roman" w:hAnsi="Times New Roman"/>
          <w:b/>
          <w:bCs/>
          <w:sz w:val="24"/>
          <w:szCs w:val="24"/>
        </w:rPr>
        <w:t>21 CFR 807.92</w:t>
      </w:r>
    </w:p>
    <w:p w14:paraId="2B42DAC1" w14:textId="2463C1F2" w:rsidR="00B10E03" w:rsidRDefault="00B10E03" w:rsidP="00B10E03">
      <w:pPr>
        <w:pStyle w:val="ListParagraph"/>
        <w:numPr>
          <w:ilvl w:val="2"/>
          <w:numId w:val="1"/>
        </w:numPr>
        <w:rPr>
          <w:rFonts w:ascii="Times New Roman" w:hAnsi="Times New Roman"/>
          <w:sz w:val="24"/>
          <w:szCs w:val="24"/>
        </w:rPr>
      </w:pPr>
      <w:r w:rsidRPr="00B10E03">
        <w:rPr>
          <w:rFonts w:ascii="Times New Roman" w:hAnsi="Times New Roman"/>
          <w:sz w:val="24"/>
          <w:szCs w:val="24"/>
        </w:rPr>
        <w:t xml:space="preserve">This section details the content and format of a </w:t>
      </w:r>
      <w:r w:rsidRPr="00B10E03">
        <w:rPr>
          <w:rFonts w:ascii="Times New Roman" w:hAnsi="Times New Roman"/>
          <w:sz w:val="24"/>
          <w:szCs w:val="24"/>
          <w:u w:val="thick"/>
        </w:rPr>
        <w:t>510(k) summary</w:t>
      </w:r>
      <w:r w:rsidRPr="00B10E03">
        <w:rPr>
          <w:rFonts w:ascii="Times New Roman" w:hAnsi="Times New Roman"/>
          <w:sz w:val="24"/>
          <w:szCs w:val="24"/>
        </w:rPr>
        <w:t>. This summary provides a concise overview of the 510(k) submission, explaining how the new device is substantially equivalent to a previously approved predicate device.</w:t>
      </w:r>
    </w:p>
    <w:p w14:paraId="2A365FE1" w14:textId="5ABF2316" w:rsidR="00B10E03" w:rsidRPr="00B10E03" w:rsidRDefault="00B10E03" w:rsidP="00B10E03">
      <w:pPr>
        <w:pStyle w:val="ListParagraph"/>
        <w:numPr>
          <w:ilvl w:val="1"/>
          <w:numId w:val="1"/>
        </w:numPr>
        <w:rPr>
          <w:rFonts w:ascii="Times New Roman" w:hAnsi="Times New Roman"/>
          <w:b/>
          <w:bCs/>
          <w:sz w:val="24"/>
          <w:szCs w:val="24"/>
        </w:rPr>
      </w:pPr>
      <w:r w:rsidRPr="00B10E03">
        <w:rPr>
          <w:rFonts w:ascii="Times New Roman" w:hAnsi="Times New Roman"/>
          <w:b/>
          <w:bCs/>
          <w:sz w:val="24"/>
          <w:szCs w:val="24"/>
        </w:rPr>
        <w:t>21 CFR 807.93</w:t>
      </w:r>
    </w:p>
    <w:p w14:paraId="4010475C" w14:textId="161B8AA4" w:rsidR="00B10E03" w:rsidRDefault="00B10E03" w:rsidP="00B10E03">
      <w:pPr>
        <w:pStyle w:val="ListParagraph"/>
        <w:numPr>
          <w:ilvl w:val="2"/>
          <w:numId w:val="1"/>
        </w:numPr>
        <w:rPr>
          <w:rFonts w:ascii="Times New Roman" w:hAnsi="Times New Roman"/>
          <w:sz w:val="24"/>
          <w:szCs w:val="24"/>
        </w:rPr>
      </w:pPr>
      <w:r w:rsidRPr="00B10E03">
        <w:rPr>
          <w:rFonts w:ascii="Times New Roman" w:hAnsi="Times New Roman"/>
          <w:sz w:val="24"/>
          <w:szCs w:val="24"/>
        </w:rPr>
        <w:t xml:space="preserve">This section defines the content and format of a </w:t>
      </w:r>
      <w:r w:rsidRPr="00B10E03">
        <w:rPr>
          <w:rFonts w:ascii="Times New Roman" w:hAnsi="Times New Roman"/>
          <w:b/>
          <w:bCs/>
          <w:sz w:val="24"/>
          <w:szCs w:val="24"/>
        </w:rPr>
        <w:t>510(k) statement</w:t>
      </w:r>
      <w:r w:rsidRPr="00B10E03">
        <w:rPr>
          <w:rFonts w:ascii="Times New Roman" w:hAnsi="Times New Roman"/>
          <w:sz w:val="24"/>
          <w:szCs w:val="24"/>
        </w:rPr>
        <w:t>. This is a simpler option compared to the 510(k) summary and can be used for specific types of low-risk devices. It focuses on establishing substantial equivalence without the same level of detail as the summary.</w:t>
      </w:r>
    </w:p>
    <w:p w14:paraId="39A27A23" w14:textId="32A278E3" w:rsidR="00B10E03" w:rsidRDefault="00B10E03" w:rsidP="00B10E03">
      <w:pPr>
        <w:pStyle w:val="ListParagraph"/>
        <w:numPr>
          <w:ilvl w:val="0"/>
          <w:numId w:val="1"/>
        </w:numPr>
        <w:rPr>
          <w:rFonts w:ascii="Times New Roman" w:hAnsi="Times New Roman"/>
          <w:sz w:val="24"/>
          <w:szCs w:val="24"/>
        </w:rPr>
      </w:pPr>
      <w:r>
        <w:rPr>
          <w:rFonts w:ascii="Times New Roman" w:hAnsi="Times New Roman"/>
          <w:sz w:val="24"/>
          <w:szCs w:val="24"/>
        </w:rPr>
        <w:t>Contents includes</w:t>
      </w:r>
    </w:p>
    <w:p w14:paraId="62EDC228" w14:textId="078665F6" w:rsidR="00B10E03" w:rsidRDefault="00976C1B" w:rsidP="00B10E03">
      <w:pPr>
        <w:pStyle w:val="ListParagraph"/>
        <w:numPr>
          <w:ilvl w:val="1"/>
          <w:numId w:val="1"/>
        </w:numPr>
        <w:rPr>
          <w:rFonts w:ascii="Times New Roman" w:hAnsi="Times New Roman"/>
          <w:sz w:val="24"/>
          <w:szCs w:val="24"/>
        </w:rPr>
      </w:pPr>
      <w:r>
        <w:rPr>
          <w:rFonts w:ascii="Times New Roman" w:hAnsi="Times New Roman"/>
          <w:noProof/>
          <w:sz w:val="24"/>
          <w:szCs w:val="24"/>
        </w:rPr>
        <w:drawing>
          <wp:anchor distT="0" distB="0" distL="114300" distR="114300" simplePos="0" relativeHeight="251659264" behindDoc="0" locked="0" layoutInCell="1" allowOverlap="1" wp14:anchorId="25126EB3" wp14:editId="23C880CD">
            <wp:simplePos x="0" y="0"/>
            <wp:positionH relativeFrom="column">
              <wp:posOffset>3327730</wp:posOffset>
            </wp:positionH>
            <wp:positionV relativeFrom="paragraph">
              <wp:posOffset>127685</wp:posOffset>
            </wp:positionV>
            <wp:extent cx="3192667" cy="2003603"/>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3192667" cy="2003603"/>
                    </a:xfrm>
                    <a:prstGeom prst="rect">
                      <a:avLst/>
                    </a:prstGeom>
                  </pic:spPr>
                </pic:pic>
              </a:graphicData>
            </a:graphic>
            <wp14:sizeRelH relativeFrom="margin">
              <wp14:pctWidth>0</wp14:pctWidth>
            </wp14:sizeRelH>
            <wp14:sizeRelV relativeFrom="margin">
              <wp14:pctHeight>0</wp14:pctHeight>
            </wp14:sizeRelV>
          </wp:anchor>
        </w:drawing>
      </w:r>
      <w:r w:rsidR="00B10E03">
        <w:rPr>
          <w:rFonts w:ascii="Times New Roman" w:hAnsi="Times New Roman"/>
          <w:sz w:val="24"/>
          <w:szCs w:val="24"/>
        </w:rPr>
        <w:t>Device Name</w:t>
      </w:r>
    </w:p>
    <w:p w14:paraId="0AE51254" w14:textId="1C752FA1" w:rsidR="00B10E03" w:rsidRDefault="00B10E03" w:rsidP="00B10E03">
      <w:pPr>
        <w:pStyle w:val="ListParagraph"/>
        <w:numPr>
          <w:ilvl w:val="1"/>
          <w:numId w:val="1"/>
        </w:numPr>
        <w:rPr>
          <w:rFonts w:ascii="Times New Roman" w:hAnsi="Times New Roman"/>
          <w:sz w:val="24"/>
          <w:szCs w:val="24"/>
        </w:rPr>
      </w:pPr>
      <w:r>
        <w:rPr>
          <w:rFonts w:ascii="Times New Roman" w:hAnsi="Times New Roman"/>
          <w:sz w:val="24"/>
          <w:szCs w:val="24"/>
        </w:rPr>
        <w:t>Identification</w:t>
      </w:r>
    </w:p>
    <w:p w14:paraId="7330D539" w14:textId="48AF48BD" w:rsidR="00B10E03" w:rsidRDefault="00B10E03" w:rsidP="00B10E03">
      <w:pPr>
        <w:pStyle w:val="ListParagraph"/>
        <w:numPr>
          <w:ilvl w:val="1"/>
          <w:numId w:val="1"/>
        </w:numPr>
        <w:rPr>
          <w:rFonts w:ascii="Times New Roman" w:hAnsi="Times New Roman"/>
          <w:sz w:val="24"/>
          <w:szCs w:val="24"/>
        </w:rPr>
      </w:pPr>
      <w:r>
        <w:rPr>
          <w:rFonts w:ascii="Times New Roman" w:hAnsi="Times New Roman"/>
          <w:sz w:val="24"/>
          <w:szCs w:val="24"/>
        </w:rPr>
        <w:t>Registration Number</w:t>
      </w:r>
    </w:p>
    <w:p w14:paraId="5FA292BA" w14:textId="1CDE0E4D" w:rsidR="00B10E03" w:rsidRDefault="00B10E03" w:rsidP="00B10E03">
      <w:pPr>
        <w:pStyle w:val="ListParagraph"/>
        <w:numPr>
          <w:ilvl w:val="1"/>
          <w:numId w:val="1"/>
        </w:numPr>
        <w:rPr>
          <w:rFonts w:ascii="Times New Roman" w:hAnsi="Times New Roman"/>
          <w:sz w:val="24"/>
          <w:szCs w:val="24"/>
        </w:rPr>
      </w:pPr>
      <w:r>
        <w:rPr>
          <w:rFonts w:ascii="Times New Roman" w:hAnsi="Times New Roman"/>
          <w:sz w:val="24"/>
          <w:szCs w:val="24"/>
        </w:rPr>
        <w:t>Classification</w:t>
      </w:r>
    </w:p>
    <w:p w14:paraId="0DD772EC" w14:textId="280DADD0" w:rsidR="00B10E03" w:rsidRDefault="00B10E03" w:rsidP="00B10E03">
      <w:pPr>
        <w:pStyle w:val="ListParagraph"/>
        <w:numPr>
          <w:ilvl w:val="1"/>
          <w:numId w:val="1"/>
        </w:numPr>
        <w:rPr>
          <w:rFonts w:ascii="Times New Roman" w:hAnsi="Times New Roman"/>
          <w:sz w:val="24"/>
          <w:szCs w:val="24"/>
        </w:rPr>
      </w:pPr>
      <w:r>
        <w:rPr>
          <w:rFonts w:ascii="Times New Roman" w:hAnsi="Times New Roman"/>
          <w:sz w:val="24"/>
          <w:szCs w:val="24"/>
        </w:rPr>
        <w:t>Description</w:t>
      </w:r>
    </w:p>
    <w:p w14:paraId="2FD1CAC6" w14:textId="6E28DF3A" w:rsidR="00B10E03" w:rsidRDefault="00B10E03" w:rsidP="00B10E03">
      <w:pPr>
        <w:pStyle w:val="ListParagraph"/>
        <w:numPr>
          <w:ilvl w:val="1"/>
          <w:numId w:val="1"/>
        </w:numPr>
        <w:rPr>
          <w:rFonts w:ascii="Times New Roman" w:hAnsi="Times New Roman"/>
          <w:sz w:val="24"/>
          <w:szCs w:val="24"/>
        </w:rPr>
      </w:pPr>
      <w:r>
        <w:rPr>
          <w:rFonts w:ascii="Times New Roman" w:hAnsi="Times New Roman"/>
          <w:sz w:val="24"/>
          <w:szCs w:val="24"/>
        </w:rPr>
        <w:t>Substantial Equivalence Comparison</w:t>
      </w:r>
    </w:p>
    <w:p w14:paraId="3DD65CFA" w14:textId="0BE35CC0" w:rsidR="00B10E03" w:rsidRDefault="00B10E03" w:rsidP="00B10E03">
      <w:pPr>
        <w:pStyle w:val="ListParagraph"/>
        <w:numPr>
          <w:ilvl w:val="1"/>
          <w:numId w:val="1"/>
        </w:numPr>
        <w:rPr>
          <w:rFonts w:ascii="Times New Roman" w:hAnsi="Times New Roman"/>
          <w:sz w:val="24"/>
          <w:szCs w:val="24"/>
        </w:rPr>
      </w:pPr>
      <w:r>
        <w:rPr>
          <w:rFonts w:ascii="Times New Roman" w:hAnsi="Times New Roman"/>
          <w:sz w:val="24"/>
          <w:szCs w:val="24"/>
        </w:rPr>
        <w:t>Software</w:t>
      </w:r>
    </w:p>
    <w:p w14:paraId="33F0D3DD" w14:textId="7641534A" w:rsidR="00B10E03" w:rsidRDefault="00B10E03" w:rsidP="00B10E03">
      <w:pPr>
        <w:pStyle w:val="ListParagraph"/>
        <w:numPr>
          <w:ilvl w:val="1"/>
          <w:numId w:val="1"/>
        </w:numPr>
        <w:rPr>
          <w:rFonts w:ascii="Times New Roman" w:hAnsi="Times New Roman"/>
          <w:sz w:val="24"/>
          <w:szCs w:val="24"/>
        </w:rPr>
      </w:pPr>
      <w:r>
        <w:rPr>
          <w:rFonts w:ascii="Times New Roman" w:hAnsi="Times New Roman"/>
          <w:sz w:val="24"/>
          <w:szCs w:val="24"/>
        </w:rPr>
        <w:t>Standards</w:t>
      </w:r>
    </w:p>
    <w:p w14:paraId="45816ACF" w14:textId="44A46208" w:rsidR="00B10E03" w:rsidRDefault="00B10E03" w:rsidP="00B10E03">
      <w:pPr>
        <w:pStyle w:val="ListParagraph"/>
        <w:numPr>
          <w:ilvl w:val="1"/>
          <w:numId w:val="1"/>
        </w:numPr>
        <w:rPr>
          <w:rFonts w:ascii="Times New Roman" w:hAnsi="Times New Roman"/>
          <w:sz w:val="24"/>
          <w:szCs w:val="24"/>
        </w:rPr>
      </w:pPr>
      <w:r>
        <w:rPr>
          <w:rFonts w:ascii="Times New Roman" w:hAnsi="Times New Roman"/>
          <w:sz w:val="24"/>
          <w:szCs w:val="24"/>
        </w:rPr>
        <w:t>Performance</w:t>
      </w:r>
    </w:p>
    <w:p w14:paraId="7AE05DC7" w14:textId="11A18A65" w:rsidR="00B10E03" w:rsidRDefault="00B10E03" w:rsidP="00B10E03">
      <w:pPr>
        <w:pStyle w:val="ListParagraph"/>
        <w:numPr>
          <w:ilvl w:val="1"/>
          <w:numId w:val="1"/>
        </w:numPr>
        <w:rPr>
          <w:rFonts w:ascii="Times New Roman" w:hAnsi="Times New Roman"/>
          <w:sz w:val="24"/>
          <w:szCs w:val="24"/>
        </w:rPr>
      </w:pPr>
      <w:r>
        <w:rPr>
          <w:rFonts w:ascii="Times New Roman" w:hAnsi="Times New Roman"/>
          <w:sz w:val="24"/>
          <w:szCs w:val="24"/>
        </w:rPr>
        <w:t>Biocompatibility</w:t>
      </w:r>
    </w:p>
    <w:p w14:paraId="7D46F65E" w14:textId="7F2D5B91" w:rsidR="00B10E03" w:rsidRDefault="00B10E03" w:rsidP="00B10E03">
      <w:pPr>
        <w:pStyle w:val="ListParagraph"/>
        <w:numPr>
          <w:ilvl w:val="1"/>
          <w:numId w:val="1"/>
        </w:numPr>
        <w:rPr>
          <w:rFonts w:ascii="Times New Roman" w:hAnsi="Times New Roman"/>
          <w:sz w:val="24"/>
          <w:szCs w:val="24"/>
        </w:rPr>
      </w:pPr>
      <w:r>
        <w:rPr>
          <w:rFonts w:ascii="Times New Roman" w:hAnsi="Times New Roman"/>
          <w:sz w:val="24"/>
          <w:szCs w:val="24"/>
        </w:rPr>
        <w:t>Sterility</w:t>
      </w:r>
    </w:p>
    <w:p w14:paraId="0A1EBFD7" w14:textId="6F0FEB67" w:rsidR="00B10E03" w:rsidRDefault="00B10E03" w:rsidP="00B10E03">
      <w:pPr>
        <w:pStyle w:val="ListParagraph"/>
        <w:numPr>
          <w:ilvl w:val="1"/>
          <w:numId w:val="1"/>
        </w:numPr>
        <w:rPr>
          <w:rFonts w:ascii="Times New Roman" w:hAnsi="Times New Roman"/>
          <w:sz w:val="24"/>
          <w:szCs w:val="24"/>
        </w:rPr>
      </w:pPr>
      <w:r>
        <w:rPr>
          <w:rFonts w:ascii="Times New Roman" w:hAnsi="Times New Roman"/>
          <w:sz w:val="24"/>
          <w:szCs w:val="24"/>
        </w:rPr>
        <w:t>Shelf Life</w:t>
      </w:r>
    </w:p>
    <w:p w14:paraId="73B85826" w14:textId="1082203A" w:rsidR="00B10E03" w:rsidRDefault="00B10E03" w:rsidP="00B10E03">
      <w:pPr>
        <w:pStyle w:val="ListParagraph"/>
        <w:numPr>
          <w:ilvl w:val="1"/>
          <w:numId w:val="1"/>
        </w:numPr>
        <w:rPr>
          <w:rFonts w:ascii="Times New Roman" w:hAnsi="Times New Roman"/>
          <w:sz w:val="24"/>
          <w:szCs w:val="24"/>
        </w:rPr>
      </w:pPr>
      <w:r>
        <w:rPr>
          <w:rFonts w:ascii="Times New Roman" w:hAnsi="Times New Roman"/>
          <w:sz w:val="24"/>
          <w:szCs w:val="24"/>
        </w:rPr>
        <w:t>Labeling</w:t>
      </w:r>
    </w:p>
    <w:p w14:paraId="2F819786" w14:textId="71E87489" w:rsidR="00B10E03" w:rsidRDefault="00B10E03" w:rsidP="00B10E03">
      <w:pPr>
        <w:pStyle w:val="ListParagraph"/>
        <w:numPr>
          <w:ilvl w:val="1"/>
          <w:numId w:val="1"/>
        </w:numPr>
        <w:rPr>
          <w:rFonts w:ascii="Times New Roman" w:hAnsi="Times New Roman"/>
          <w:sz w:val="24"/>
          <w:szCs w:val="24"/>
        </w:rPr>
      </w:pPr>
      <w:r>
        <w:rPr>
          <w:rFonts w:ascii="Times New Roman" w:hAnsi="Times New Roman"/>
          <w:sz w:val="24"/>
          <w:szCs w:val="24"/>
        </w:rPr>
        <w:t>Class III Certification and Summary</w:t>
      </w:r>
    </w:p>
    <w:p w14:paraId="70EE2276" w14:textId="1805A981" w:rsidR="00B10E03" w:rsidRDefault="00B10E03" w:rsidP="00B10E03">
      <w:pPr>
        <w:pStyle w:val="ListParagraph"/>
        <w:numPr>
          <w:ilvl w:val="1"/>
          <w:numId w:val="1"/>
        </w:numPr>
        <w:rPr>
          <w:rFonts w:ascii="Times New Roman" w:hAnsi="Times New Roman"/>
          <w:sz w:val="24"/>
          <w:szCs w:val="24"/>
        </w:rPr>
      </w:pPr>
      <w:r>
        <w:rPr>
          <w:rFonts w:ascii="Times New Roman" w:hAnsi="Times New Roman"/>
          <w:sz w:val="24"/>
          <w:szCs w:val="24"/>
        </w:rPr>
        <w:t>510(k) Summary of Statement</w:t>
      </w:r>
    </w:p>
    <w:p w14:paraId="4D9B6AC1" w14:textId="2F462B9B" w:rsidR="00B10E03" w:rsidRDefault="00B10E03" w:rsidP="00B10E03">
      <w:pPr>
        <w:pStyle w:val="ListParagraph"/>
        <w:numPr>
          <w:ilvl w:val="1"/>
          <w:numId w:val="1"/>
        </w:numPr>
        <w:rPr>
          <w:rFonts w:ascii="Times New Roman" w:hAnsi="Times New Roman"/>
          <w:sz w:val="24"/>
          <w:szCs w:val="24"/>
        </w:rPr>
      </w:pPr>
      <w:r>
        <w:rPr>
          <w:rFonts w:ascii="Times New Roman" w:hAnsi="Times New Roman"/>
          <w:sz w:val="24"/>
          <w:szCs w:val="24"/>
        </w:rPr>
        <w:t>Truthful and Accuracy Statement</w:t>
      </w:r>
    </w:p>
    <w:p w14:paraId="76F6E4E5" w14:textId="407548C8" w:rsidR="00B10E03" w:rsidRDefault="00B10E03" w:rsidP="00B10E03">
      <w:pPr>
        <w:pStyle w:val="ListParagraph"/>
        <w:numPr>
          <w:ilvl w:val="0"/>
          <w:numId w:val="1"/>
        </w:numPr>
        <w:rPr>
          <w:rFonts w:ascii="Times New Roman" w:hAnsi="Times New Roman"/>
          <w:sz w:val="24"/>
          <w:szCs w:val="24"/>
        </w:rPr>
      </w:pPr>
      <w:r>
        <w:rPr>
          <w:rFonts w:ascii="Times New Roman" w:hAnsi="Times New Roman"/>
          <w:sz w:val="24"/>
          <w:szCs w:val="24"/>
        </w:rPr>
        <w:t>Acceptance Checklists for 510(k)s</w:t>
      </w:r>
    </w:p>
    <w:p w14:paraId="6E75E464" w14:textId="6E860BC2" w:rsidR="00B10E03" w:rsidRDefault="00B10E03" w:rsidP="00B10E03">
      <w:pPr>
        <w:pStyle w:val="ListParagraph"/>
        <w:numPr>
          <w:ilvl w:val="1"/>
          <w:numId w:val="1"/>
        </w:numPr>
        <w:rPr>
          <w:rFonts w:ascii="Times New Roman" w:hAnsi="Times New Roman"/>
          <w:sz w:val="24"/>
          <w:szCs w:val="24"/>
        </w:rPr>
      </w:pPr>
      <w:r>
        <w:rPr>
          <w:rFonts w:ascii="Times New Roman" w:hAnsi="Times New Roman"/>
          <w:sz w:val="24"/>
          <w:szCs w:val="24"/>
        </w:rPr>
        <w:t xml:space="preserve">Traditional </w:t>
      </w:r>
    </w:p>
    <w:p w14:paraId="391763B3" w14:textId="2DBF2AA8" w:rsidR="00B10E03" w:rsidRDefault="00B10E03" w:rsidP="00B10E03">
      <w:pPr>
        <w:pStyle w:val="ListParagraph"/>
        <w:numPr>
          <w:ilvl w:val="1"/>
          <w:numId w:val="1"/>
        </w:numPr>
        <w:rPr>
          <w:rFonts w:ascii="Times New Roman" w:hAnsi="Times New Roman"/>
          <w:sz w:val="24"/>
          <w:szCs w:val="24"/>
        </w:rPr>
      </w:pPr>
      <w:r>
        <w:rPr>
          <w:rFonts w:ascii="Times New Roman" w:hAnsi="Times New Roman"/>
          <w:sz w:val="24"/>
          <w:szCs w:val="24"/>
        </w:rPr>
        <w:t xml:space="preserve">Abbreviated </w:t>
      </w:r>
    </w:p>
    <w:p w14:paraId="30605131" w14:textId="6ADE318E" w:rsidR="00B10E03" w:rsidRDefault="00B10E03" w:rsidP="00B10E03">
      <w:pPr>
        <w:pStyle w:val="ListParagraph"/>
        <w:numPr>
          <w:ilvl w:val="1"/>
          <w:numId w:val="1"/>
        </w:numPr>
        <w:rPr>
          <w:rFonts w:ascii="Times New Roman" w:hAnsi="Times New Roman"/>
          <w:sz w:val="24"/>
          <w:szCs w:val="24"/>
        </w:rPr>
      </w:pPr>
      <w:r>
        <w:rPr>
          <w:rFonts w:ascii="Times New Roman" w:hAnsi="Times New Roman"/>
          <w:sz w:val="24"/>
          <w:szCs w:val="24"/>
        </w:rPr>
        <w:lastRenderedPageBreak/>
        <w:t>Special</w:t>
      </w:r>
    </w:p>
    <w:tbl>
      <w:tblPr>
        <w:tblStyle w:val="TableGrid"/>
        <w:tblW w:w="0" w:type="auto"/>
        <w:tblLook w:val="04A0" w:firstRow="1" w:lastRow="0" w:firstColumn="1" w:lastColumn="0" w:noHBand="0" w:noVBand="1"/>
      </w:tblPr>
      <w:tblGrid>
        <w:gridCol w:w="9350"/>
      </w:tblGrid>
      <w:tr w:rsidR="00B10E03" w14:paraId="1DE6C474" w14:textId="77777777" w:rsidTr="00664BD4">
        <w:trPr>
          <w:trHeight w:val="557"/>
        </w:trPr>
        <w:tc>
          <w:tcPr>
            <w:tcW w:w="9350" w:type="dxa"/>
            <w:shd w:val="clear" w:color="auto" w:fill="7030A0"/>
          </w:tcPr>
          <w:p w14:paraId="73B911A4" w14:textId="4B8627C1" w:rsidR="00B10E03" w:rsidRPr="00501890" w:rsidRDefault="00B10E03" w:rsidP="00664BD4">
            <w:pPr>
              <w:rPr>
                <w:rFonts w:ascii="Times New Roman" w:hAnsi="Times New Roman"/>
                <w:b/>
                <w:bCs/>
                <w:sz w:val="32"/>
                <w:szCs w:val="32"/>
              </w:rPr>
            </w:pPr>
            <w:r>
              <w:rPr>
                <w:rFonts w:ascii="Times New Roman" w:hAnsi="Times New Roman"/>
                <w:b/>
                <w:bCs/>
                <w:color w:val="E7E6E6" w:themeColor="background2"/>
                <w:sz w:val="40"/>
                <w:szCs w:val="40"/>
              </w:rPr>
              <w:t xml:space="preserve">Start to Finish: </w:t>
            </w:r>
            <w:r w:rsidRPr="0072318B">
              <w:rPr>
                <w:rFonts w:ascii="Times New Roman" w:hAnsi="Times New Roman"/>
                <w:b/>
                <w:bCs/>
                <w:color w:val="E7E6E6" w:themeColor="background2"/>
                <w:sz w:val="40"/>
                <w:szCs w:val="40"/>
              </w:rPr>
              <w:t xml:space="preserve">510(k) Premarket </w:t>
            </w:r>
            <w:r>
              <w:rPr>
                <w:rFonts w:ascii="Times New Roman" w:hAnsi="Times New Roman"/>
                <w:b/>
                <w:bCs/>
                <w:color w:val="E7E6E6" w:themeColor="background2"/>
                <w:sz w:val="40"/>
                <w:szCs w:val="40"/>
              </w:rPr>
              <w:t>Process</w:t>
            </w:r>
          </w:p>
        </w:tc>
      </w:tr>
    </w:tbl>
    <w:p w14:paraId="69200E6B" w14:textId="74AFEEDA" w:rsidR="00B10E03" w:rsidRDefault="00B10E03" w:rsidP="00B10E03">
      <w:pPr>
        <w:rPr>
          <w:rFonts w:ascii="Times New Roman" w:hAnsi="Times New Roman"/>
          <w:sz w:val="24"/>
          <w:szCs w:val="24"/>
        </w:rPr>
      </w:pPr>
    </w:p>
    <w:p w14:paraId="070F63CA" w14:textId="4CE77AE3" w:rsidR="0026237A" w:rsidRPr="0026237A" w:rsidRDefault="0026237A" w:rsidP="0026237A">
      <w:pPr>
        <w:pStyle w:val="ListParagraph"/>
        <w:rPr>
          <w:rFonts w:ascii="Times New Roman" w:hAnsi="Times New Roman"/>
          <w:sz w:val="24"/>
          <w:szCs w:val="24"/>
        </w:rPr>
      </w:pPr>
      <w:r>
        <w:rPr>
          <w:rFonts w:ascii="Times New Roman" w:hAnsi="Times New Roman"/>
          <w:b/>
          <w:bCs/>
          <w:sz w:val="24"/>
          <w:szCs w:val="24"/>
        </w:rPr>
        <w:t xml:space="preserve">Goal: </w:t>
      </w:r>
      <w:r w:rsidRPr="00284902">
        <w:rPr>
          <w:rFonts w:ascii="Times New Roman" w:hAnsi="Times New Roman"/>
          <w:i/>
          <w:iCs/>
          <w:sz w:val="24"/>
          <w:szCs w:val="24"/>
        </w:rPr>
        <w:t xml:space="preserve">The objective of the 510(k) process is to prove </w:t>
      </w:r>
      <w:r w:rsidRPr="00284902">
        <w:rPr>
          <w:rFonts w:ascii="Times New Roman" w:hAnsi="Times New Roman"/>
          <w:i/>
          <w:iCs/>
          <w:color w:val="00B0F0"/>
          <w:sz w:val="24"/>
          <w:szCs w:val="24"/>
        </w:rPr>
        <w:t xml:space="preserve">substantial </w:t>
      </w:r>
      <w:r w:rsidR="00284902" w:rsidRPr="00284902">
        <w:rPr>
          <w:rFonts w:ascii="Times New Roman" w:hAnsi="Times New Roman"/>
          <w:i/>
          <w:iCs/>
          <w:color w:val="00B0F0"/>
          <w:sz w:val="24"/>
          <w:szCs w:val="24"/>
        </w:rPr>
        <w:t>equivalence</w:t>
      </w:r>
      <w:r w:rsidR="00284902" w:rsidRPr="00284902">
        <w:rPr>
          <w:rFonts w:ascii="Times New Roman" w:hAnsi="Times New Roman"/>
          <w:i/>
          <w:iCs/>
          <w:sz w:val="24"/>
          <w:szCs w:val="24"/>
        </w:rPr>
        <w:t xml:space="preserve">. This means that the manufacture needs to show evidence to the FDA that the medical device intended to bring to the market is broadly similar to another device that is already legally approved on the market </w:t>
      </w:r>
      <w:proofErr w:type="spellStart"/>
      <w:r w:rsidR="00284902" w:rsidRPr="00284902">
        <w:rPr>
          <w:rFonts w:ascii="Times New Roman" w:hAnsi="Times New Roman"/>
          <w:i/>
          <w:iCs/>
          <w:sz w:val="24"/>
          <w:szCs w:val="24"/>
        </w:rPr>
        <w:t>a.k.</w:t>
      </w:r>
      <w:proofErr w:type="gramStart"/>
      <w:r w:rsidR="00284902">
        <w:rPr>
          <w:rFonts w:ascii="Times New Roman" w:hAnsi="Times New Roman"/>
          <w:i/>
          <w:iCs/>
          <w:sz w:val="24"/>
          <w:szCs w:val="24"/>
        </w:rPr>
        <w:t>a</w:t>
      </w:r>
      <w:proofErr w:type="spellEnd"/>
      <w:r w:rsidR="00284902">
        <w:rPr>
          <w:rFonts w:ascii="Times New Roman" w:hAnsi="Times New Roman"/>
          <w:i/>
          <w:iCs/>
          <w:sz w:val="24"/>
          <w:szCs w:val="24"/>
        </w:rPr>
        <w:t xml:space="preserve"> </w:t>
      </w:r>
      <w:r w:rsidR="00284902" w:rsidRPr="00284902">
        <w:rPr>
          <w:rFonts w:ascii="Times New Roman" w:hAnsi="Times New Roman"/>
          <w:i/>
          <w:iCs/>
          <w:sz w:val="24"/>
          <w:szCs w:val="24"/>
        </w:rPr>
        <w:t>the</w:t>
      </w:r>
      <w:proofErr w:type="gramEnd"/>
      <w:r w:rsidR="00284902" w:rsidRPr="00284902">
        <w:rPr>
          <w:rFonts w:ascii="Times New Roman" w:hAnsi="Times New Roman"/>
          <w:i/>
          <w:iCs/>
          <w:sz w:val="24"/>
          <w:szCs w:val="24"/>
        </w:rPr>
        <w:t xml:space="preserve"> predicate device</w:t>
      </w:r>
      <w:r w:rsidR="00284902">
        <w:rPr>
          <w:rFonts w:ascii="Times New Roman" w:hAnsi="Times New Roman"/>
          <w:i/>
          <w:iCs/>
          <w:sz w:val="24"/>
          <w:szCs w:val="24"/>
        </w:rPr>
        <w:t>.</w:t>
      </w:r>
    </w:p>
    <w:p w14:paraId="081038A1" w14:textId="77777777" w:rsidR="0026237A" w:rsidRDefault="0026237A" w:rsidP="0026237A">
      <w:pPr>
        <w:pStyle w:val="ListParagraph"/>
        <w:rPr>
          <w:rFonts w:ascii="Times New Roman" w:hAnsi="Times New Roman"/>
          <w:b/>
          <w:bCs/>
          <w:sz w:val="24"/>
          <w:szCs w:val="24"/>
        </w:rPr>
      </w:pPr>
    </w:p>
    <w:p w14:paraId="1C6B15F0" w14:textId="6DFE4DA9" w:rsidR="00B10E03" w:rsidRPr="00872D39" w:rsidRDefault="00872D39" w:rsidP="0026237A">
      <w:pPr>
        <w:pStyle w:val="ListParagraph"/>
        <w:numPr>
          <w:ilvl w:val="0"/>
          <w:numId w:val="2"/>
        </w:numPr>
        <w:rPr>
          <w:rFonts w:ascii="Times New Roman" w:hAnsi="Times New Roman"/>
          <w:b/>
          <w:bCs/>
          <w:sz w:val="24"/>
          <w:szCs w:val="24"/>
        </w:rPr>
      </w:pPr>
      <w:r w:rsidRPr="00872D39">
        <w:rPr>
          <w:rFonts w:ascii="Times New Roman" w:hAnsi="Times New Roman"/>
          <w:b/>
          <w:bCs/>
          <w:sz w:val="24"/>
          <w:szCs w:val="24"/>
        </w:rPr>
        <w:t>Determine Device Classification</w:t>
      </w:r>
    </w:p>
    <w:p w14:paraId="143FD79C" w14:textId="08C7A491" w:rsidR="00872D39" w:rsidRDefault="00872D39" w:rsidP="00872D39">
      <w:pPr>
        <w:pStyle w:val="ListParagraph"/>
        <w:numPr>
          <w:ilvl w:val="1"/>
          <w:numId w:val="2"/>
        </w:numPr>
        <w:rPr>
          <w:rFonts w:ascii="Times New Roman" w:hAnsi="Times New Roman"/>
          <w:sz w:val="24"/>
          <w:szCs w:val="24"/>
        </w:rPr>
      </w:pPr>
      <w:r>
        <w:rPr>
          <w:rFonts w:ascii="Times New Roman" w:hAnsi="Times New Roman"/>
          <w:sz w:val="24"/>
          <w:szCs w:val="24"/>
        </w:rPr>
        <w:t>Class I, II, or III</w:t>
      </w:r>
    </w:p>
    <w:p w14:paraId="04B073DD" w14:textId="22508E25" w:rsidR="00BC536A" w:rsidRDefault="00872D39" w:rsidP="00872D39">
      <w:pPr>
        <w:pStyle w:val="ListParagraph"/>
        <w:numPr>
          <w:ilvl w:val="2"/>
          <w:numId w:val="2"/>
        </w:numPr>
        <w:rPr>
          <w:rFonts w:ascii="Times New Roman" w:hAnsi="Times New Roman"/>
          <w:sz w:val="24"/>
          <w:szCs w:val="24"/>
        </w:rPr>
      </w:pPr>
      <w:r>
        <w:rPr>
          <w:rFonts w:ascii="Times New Roman" w:hAnsi="Times New Roman"/>
          <w:sz w:val="24"/>
          <w:szCs w:val="24"/>
        </w:rPr>
        <w:t xml:space="preserve">Class I </w:t>
      </w:r>
    </w:p>
    <w:p w14:paraId="214D6680" w14:textId="75EDFF41" w:rsidR="00872D39" w:rsidRDefault="00872D39" w:rsidP="00BC536A">
      <w:pPr>
        <w:pStyle w:val="ListParagraph"/>
        <w:numPr>
          <w:ilvl w:val="3"/>
          <w:numId w:val="2"/>
        </w:numPr>
        <w:rPr>
          <w:rFonts w:ascii="Times New Roman" w:hAnsi="Times New Roman"/>
          <w:sz w:val="24"/>
          <w:szCs w:val="24"/>
        </w:rPr>
      </w:pPr>
      <w:r>
        <w:rPr>
          <w:rFonts w:ascii="Times New Roman" w:hAnsi="Times New Roman"/>
          <w:sz w:val="24"/>
          <w:szCs w:val="24"/>
        </w:rPr>
        <w:t>Devices are low risk and generally exempt from the 510(k) process</w:t>
      </w:r>
      <w:r w:rsidR="00BC536A">
        <w:rPr>
          <w:rFonts w:ascii="Times New Roman" w:hAnsi="Times New Roman"/>
          <w:sz w:val="24"/>
          <w:szCs w:val="24"/>
        </w:rPr>
        <w:t xml:space="preserve">. They are subject to </w:t>
      </w:r>
      <w:r w:rsidR="00BC536A" w:rsidRPr="00BC536A">
        <w:rPr>
          <w:rFonts w:ascii="Times New Roman" w:hAnsi="Times New Roman"/>
          <w:color w:val="C45911" w:themeColor="accent2" w:themeShade="BF"/>
          <w:sz w:val="24"/>
          <w:szCs w:val="24"/>
        </w:rPr>
        <w:t xml:space="preserve">general controls </w:t>
      </w:r>
      <w:proofErr w:type="spellStart"/>
      <w:r w:rsidR="00BC536A">
        <w:rPr>
          <w:rFonts w:ascii="Times New Roman" w:hAnsi="Times New Roman"/>
          <w:sz w:val="24"/>
          <w:szCs w:val="24"/>
        </w:rPr>
        <w:t>i.e</w:t>
      </w:r>
      <w:proofErr w:type="spellEnd"/>
      <w:r w:rsidR="00BC536A">
        <w:rPr>
          <w:rFonts w:ascii="Times New Roman" w:hAnsi="Times New Roman"/>
          <w:sz w:val="24"/>
          <w:szCs w:val="24"/>
        </w:rPr>
        <w:t>:</w:t>
      </w:r>
    </w:p>
    <w:p w14:paraId="4759C355" w14:textId="6F8CD685" w:rsidR="00BC536A" w:rsidRDefault="00BC536A" w:rsidP="00BC536A">
      <w:pPr>
        <w:pStyle w:val="ListParagraph"/>
        <w:numPr>
          <w:ilvl w:val="4"/>
          <w:numId w:val="2"/>
        </w:numPr>
        <w:rPr>
          <w:rFonts w:ascii="Times New Roman" w:hAnsi="Times New Roman"/>
          <w:sz w:val="24"/>
          <w:szCs w:val="24"/>
        </w:rPr>
      </w:pPr>
      <w:r w:rsidRPr="00BC536A">
        <w:rPr>
          <w:rFonts w:ascii="Times New Roman" w:hAnsi="Times New Roman"/>
          <w:sz w:val="24"/>
          <w:szCs w:val="24"/>
        </w:rPr>
        <w:t>Establishment registration and device listing</w:t>
      </w:r>
    </w:p>
    <w:p w14:paraId="62639D8A" w14:textId="510B47F9" w:rsidR="00BC536A" w:rsidRDefault="00BC536A" w:rsidP="00BC536A">
      <w:pPr>
        <w:pStyle w:val="ListParagraph"/>
        <w:numPr>
          <w:ilvl w:val="4"/>
          <w:numId w:val="2"/>
        </w:numPr>
        <w:rPr>
          <w:rFonts w:ascii="Times New Roman" w:hAnsi="Times New Roman"/>
          <w:sz w:val="24"/>
          <w:szCs w:val="24"/>
        </w:rPr>
      </w:pPr>
      <w:r w:rsidRPr="00BC536A">
        <w:rPr>
          <w:rFonts w:ascii="Times New Roman" w:hAnsi="Times New Roman"/>
          <w:sz w:val="24"/>
          <w:szCs w:val="24"/>
        </w:rPr>
        <w:t>Premarket notification (510(k)) or premarket approval (PMA)</w:t>
      </w:r>
    </w:p>
    <w:p w14:paraId="3BC1D999" w14:textId="6A3A8727" w:rsidR="00BC536A" w:rsidRDefault="00BC536A" w:rsidP="00BC536A">
      <w:pPr>
        <w:pStyle w:val="ListParagraph"/>
        <w:numPr>
          <w:ilvl w:val="5"/>
          <w:numId w:val="2"/>
        </w:numPr>
        <w:rPr>
          <w:rFonts w:ascii="Times New Roman" w:hAnsi="Times New Roman"/>
          <w:sz w:val="24"/>
          <w:szCs w:val="24"/>
        </w:rPr>
      </w:pPr>
      <w:r>
        <w:rPr>
          <w:rFonts w:ascii="Times New Roman" w:hAnsi="Times New Roman"/>
          <w:sz w:val="24"/>
          <w:szCs w:val="24"/>
        </w:rPr>
        <w:t>Not applicable to Class I</w:t>
      </w:r>
      <w:r w:rsidR="00B56B08" w:rsidRPr="00B56B08">
        <w:rPr>
          <w:noProof/>
        </w:rPr>
        <w:t xml:space="preserve"> </w:t>
      </w:r>
    </w:p>
    <w:p w14:paraId="57092F68" w14:textId="46665EB8" w:rsidR="00BC536A" w:rsidRDefault="00B56B08" w:rsidP="00BC536A">
      <w:pPr>
        <w:pStyle w:val="ListParagraph"/>
        <w:numPr>
          <w:ilvl w:val="4"/>
          <w:numId w:val="2"/>
        </w:numPr>
        <w:rPr>
          <w:rFonts w:ascii="Times New Roman" w:hAnsi="Times New Roman"/>
          <w:sz w:val="24"/>
          <w:szCs w:val="24"/>
        </w:rPr>
      </w:pPr>
      <w:r>
        <w:rPr>
          <w:noProof/>
        </w:rPr>
        <w:drawing>
          <wp:anchor distT="0" distB="0" distL="114300" distR="114300" simplePos="0" relativeHeight="251661312" behindDoc="0" locked="0" layoutInCell="1" allowOverlap="1" wp14:anchorId="110F6B9E" wp14:editId="08C993AB">
            <wp:simplePos x="0" y="0"/>
            <wp:positionH relativeFrom="column">
              <wp:posOffset>-650723</wp:posOffset>
            </wp:positionH>
            <wp:positionV relativeFrom="paragraph">
              <wp:posOffset>179095</wp:posOffset>
            </wp:positionV>
            <wp:extent cx="2070202" cy="1754475"/>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2070202" cy="1754475"/>
                    </a:xfrm>
                    <a:prstGeom prst="rect">
                      <a:avLst/>
                    </a:prstGeom>
                  </pic:spPr>
                </pic:pic>
              </a:graphicData>
            </a:graphic>
            <wp14:sizeRelH relativeFrom="margin">
              <wp14:pctWidth>0</wp14:pctWidth>
            </wp14:sizeRelH>
            <wp14:sizeRelV relativeFrom="margin">
              <wp14:pctHeight>0</wp14:pctHeight>
            </wp14:sizeRelV>
          </wp:anchor>
        </w:drawing>
      </w:r>
      <w:r w:rsidR="00BC536A" w:rsidRPr="00BC536A">
        <w:rPr>
          <w:rFonts w:ascii="Times New Roman" w:hAnsi="Times New Roman"/>
          <w:sz w:val="24"/>
          <w:szCs w:val="24"/>
        </w:rPr>
        <w:t>Quality system regulations (QSR)</w:t>
      </w:r>
    </w:p>
    <w:p w14:paraId="4D17B3E6" w14:textId="03B4728E" w:rsidR="00BC536A" w:rsidRDefault="00BC536A" w:rsidP="00BC536A">
      <w:pPr>
        <w:pStyle w:val="ListParagraph"/>
        <w:numPr>
          <w:ilvl w:val="4"/>
          <w:numId w:val="2"/>
        </w:numPr>
        <w:rPr>
          <w:rFonts w:ascii="Times New Roman" w:hAnsi="Times New Roman"/>
          <w:sz w:val="24"/>
          <w:szCs w:val="24"/>
        </w:rPr>
      </w:pPr>
      <w:r w:rsidRPr="00BC536A">
        <w:rPr>
          <w:rFonts w:ascii="Times New Roman" w:hAnsi="Times New Roman"/>
          <w:sz w:val="24"/>
          <w:szCs w:val="24"/>
        </w:rPr>
        <w:t>Labeling requirements</w:t>
      </w:r>
    </w:p>
    <w:p w14:paraId="3C9B55A1" w14:textId="3709AC77" w:rsidR="00BC536A" w:rsidRDefault="00BC536A" w:rsidP="00BC536A">
      <w:pPr>
        <w:pStyle w:val="ListParagraph"/>
        <w:numPr>
          <w:ilvl w:val="4"/>
          <w:numId w:val="2"/>
        </w:numPr>
        <w:rPr>
          <w:rFonts w:ascii="Times New Roman" w:hAnsi="Times New Roman"/>
          <w:sz w:val="24"/>
          <w:szCs w:val="24"/>
        </w:rPr>
      </w:pPr>
      <w:r w:rsidRPr="00BC536A">
        <w:rPr>
          <w:rFonts w:ascii="Times New Roman" w:hAnsi="Times New Roman"/>
          <w:sz w:val="24"/>
          <w:szCs w:val="24"/>
        </w:rPr>
        <w:t>Medical device reporting (MDR)</w:t>
      </w:r>
    </w:p>
    <w:p w14:paraId="092A25E7" w14:textId="768CB9F7" w:rsidR="00BC536A" w:rsidRDefault="00BC536A" w:rsidP="00BC536A">
      <w:pPr>
        <w:pStyle w:val="ListParagraph"/>
        <w:numPr>
          <w:ilvl w:val="4"/>
          <w:numId w:val="2"/>
        </w:numPr>
        <w:rPr>
          <w:rFonts w:ascii="Times New Roman" w:hAnsi="Times New Roman"/>
          <w:sz w:val="24"/>
          <w:szCs w:val="24"/>
        </w:rPr>
      </w:pPr>
      <w:r w:rsidRPr="00BC536A">
        <w:rPr>
          <w:rFonts w:ascii="Times New Roman" w:hAnsi="Times New Roman"/>
          <w:sz w:val="24"/>
          <w:szCs w:val="24"/>
        </w:rPr>
        <w:t>Corrections and removals</w:t>
      </w:r>
      <w:r>
        <w:rPr>
          <w:rFonts w:ascii="Times New Roman" w:hAnsi="Times New Roman"/>
          <w:sz w:val="24"/>
          <w:szCs w:val="24"/>
        </w:rPr>
        <w:t xml:space="preserve"> </w:t>
      </w:r>
      <w:r w:rsidRPr="00BC536A">
        <w:rPr>
          <w:rFonts w:ascii="Times New Roman" w:hAnsi="Times New Roman"/>
          <w:sz w:val="24"/>
          <w:szCs w:val="24"/>
        </w:rPr>
        <w:t>of devices initiated to reduce a risk to health posed by the device</w:t>
      </w:r>
    </w:p>
    <w:p w14:paraId="0FC7277A" w14:textId="363BE019" w:rsidR="00BC536A" w:rsidRDefault="00BC536A" w:rsidP="00BC536A">
      <w:pPr>
        <w:pStyle w:val="ListParagraph"/>
        <w:numPr>
          <w:ilvl w:val="3"/>
          <w:numId w:val="2"/>
        </w:numPr>
        <w:rPr>
          <w:rFonts w:ascii="Times New Roman" w:hAnsi="Times New Roman"/>
          <w:sz w:val="24"/>
          <w:szCs w:val="24"/>
        </w:rPr>
      </w:pPr>
      <w:r w:rsidRPr="00BC536A">
        <w:rPr>
          <w:rFonts w:ascii="Times New Roman" w:hAnsi="Times New Roman"/>
          <w:sz w:val="24"/>
          <w:szCs w:val="24"/>
        </w:rPr>
        <w:t>Class I devices are considered low-risk devices that are not intended for supporting or sustaining life or preventing impairment of human health</w:t>
      </w:r>
    </w:p>
    <w:p w14:paraId="3210EB7F" w14:textId="4DFA0AAA" w:rsidR="00BC536A" w:rsidRDefault="00BC536A" w:rsidP="00BC536A">
      <w:pPr>
        <w:pStyle w:val="ListParagraph"/>
        <w:numPr>
          <w:ilvl w:val="3"/>
          <w:numId w:val="2"/>
        </w:numPr>
        <w:rPr>
          <w:rFonts w:ascii="Times New Roman" w:hAnsi="Times New Roman"/>
          <w:sz w:val="24"/>
          <w:szCs w:val="24"/>
        </w:rPr>
      </w:pPr>
      <w:r>
        <w:rPr>
          <w:rFonts w:ascii="Times New Roman" w:hAnsi="Times New Roman"/>
          <w:sz w:val="24"/>
          <w:szCs w:val="24"/>
        </w:rPr>
        <w:t>Class I Reserved Devices</w:t>
      </w:r>
    </w:p>
    <w:p w14:paraId="0C78014A" w14:textId="4ADC6221" w:rsidR="00BC536A" w:rsidRDefault="00BC536A" w:rsidP="00BC536A">
      <w:pPr>
        <w:pStyle w:val="ListParagraph"/>
        <w:numPr>
          <w:ilvl w:val="4"/>
          <w:numId w:val="2"/>
        </w:numPr>
        <w:rPr>
          <w:rFonts w:ascii="Times New Roman" w:hAnsi="Times New Roman"/>
          <w:sz w:val="24"/>
          <w:szCs w:val="24"/>
        </w:rPr>
      </w:pPr>
      <w:r>
        <w:rPr>
          <w:rFonts w:ascii="Times New Roman" w:hAnsi="Times New Roman"/>
          <w:sz w:val="24"/>
          <w:szCs w:val="24"/>
        </w:rPr>
        <w:t xml:space="preserve">Device that is intended for a use that is of substantial importance in preventing the impairment of human health or that presents a potentially unreasonable risk of injury or illness </w:t>
      </w:r>
    </w:p>
    <w:p w14:paraId="03AD5BF1" w14:textId="170D1B97" w:rsidR="00BC536A" w:rsidRDefault="00BC536A" w:rsidP="00BC536A">
      <w:pPr>
        <w:pStyle w:val="ListParagraph"/>
        <w:numPr>
          <w:ilvl w:val="4"/>
          <w:numId w:val="2"/>
        </w:numPr>
        <w:rPr>
          <w:rFonts w:ascii="Times New Roman" w:hAnsi="Times New Roman"/>
          <w:sz w:val="24"/>
          <w:szCs w:val="24"/>
        </w:rPr>
      </w:pPr>
      <w:r>
        <w:rPr>
          <w:rFonts w:ascii="Times New Roman" w:hAnsi="Times New Roman"/>
          <w:sz w:val="24"/>
          <w:szCs w:val="24"/>
        </w:rPr>
        <w:t>Examples: Blood bank supplies, keratomes, cannulas, cardiovascular surgical; instruments, and positron cameras</w:t>
      </w:r>
    </w:p>
    <w:p w14:paraId="611CE90A" w14:textId="77777777" w:rsidR="00BC536A" w:rsidRDefault="00872D39" w:rsidP="002C10F9">
      <w:pPr>
        <w:pStyle w:val="ListParagraph"/>
        <w:numPr>
          <w:ilvl w:val="2"/>
          <w:numId w:val="2"/>
        </w:numPr>
        <w:rPr>
          <w:rFonts w:ascii="Times New Roman" w:hAnsi="Times New Roman"/>
          <w:sz w:val="24"/>
          <w:szCs w:val="24"/>
        </w:rPr>
      </w:pPr>
      <w:r w:rsidRPr="00BC536A">
        <w:rPr>
          <w:rFonts w:ascii="Times New Roman" w:hAnsi="Times New Roman"/>
          <w:sz w:val="24"/>
          <w:szCs w:val="24"/>
        </w:rPr>
        <w:t>Class II</w:t>
      </w:r>
    </w:p>
    <w:p w14:paraId="088AAB5A" w14:textId="2D251600" w:rsidR="00BC536A" w:rsidRDefault="00872D39" w:rsidP="00BC536A">
      <w:pPr>
        <w:pStyle w:val="ListParagraph"/>
        <w:numPr>
          <w:ilvl w:val="3"/>
          <w:numId w:val="2"/>
        </w:numPr>
        <w:rPr>
          <w:rFonts w:ascii="Times New Roman" w:hAnsi="Times New Roman"/>
          <w:sz w:val="24"/>
          <w:szCs w:val="24"/>
        </w:rPr>
      </w:pPr>
      <w:r w:rsidRPr="00BC536A">
        <w:rPr>
          <w:rFonts w:ascii="Times New Roman" w:hAnsi="Times New Roman"/>
          <w:sz w:val="24"/>
          <w:szCs w:val="24"/>
        </w:rPr>
        <w:t>Devices are moderate Risk. They typically go through the 510(k) process</w:t>
      </w:r>
    </w:p>
    <w:p w14:paraId="02C9D106" w14:textId="5E44D6F9" w:rsidR="00BC536A" w:rsidRDefault="00BC536A" w:rsidP="00BC536A">
      <w:pPr>
        <w:pStyle w:val="ListParagraph"/>
        <w:numPr>
          <w:ilvl w:val="3"/>
          <w:numId w:val="2"/>
        </w:numPr>
        <w:rPr>
          <w:rFonts w:ascii="Times New Roman" w:hAnsi="Times New Roman"/>
          <w:sz w:val="24"/>
          <w:szCs w:val="24"/>
        </w:rPr>
      </w:pPr>
      <w:r>
        <w:rPr>
          <w:rFonts w:ascii="Times New Roman" w:hAnsi="Times New Roman"/>
          <w:sz w:val="24"/>
          <w:szCs w:val="24"/>
        </w:rPr>
        <w:t>General controls are not sufficient enough to ensure safety and effectiveness</w:t>
      </w:r>
    </w:p>
    <w:p w14:paraId="11F7F9AF" w14:textId="31C2F11D" w:rsidR="00BC536A" w:rsidRDefault="00BC536A" w:rsidP="00BC536A">
      <w:pPr>
        <w:pStyle w:val="ListParagraph"/>
        <w:numPr>
          <w:ilvl w:val="3"/>
          <w:numId w:val="2"/>
        </w:numPr>
        <w:rPr>
          <w:rFonts w:ascii="Times New Roman" w:hAnsi="Times New Roman"/>
          <w:sz w:val="24"/>
          <w:szCs w:val="24"/>
        </w:rPr>
      </w:pPr>
      <w:r>
        <w:rPr>
          <w:rFonts w:ascii="Times New Roman" w:hAnsi="Times New Roman"/>
          <w:sz w:val="24"/>
          <w:szCs w:val="24"/>
        </w:rPr>
        <w:t xml:space="preserve">Subject to </w:t>
      </w:r>
      <w:r w:rsidRPr="000E1BFD">
        <w:rPr>
          <w:rFonts w:ascii="Times New Roman" w:hAnsi="Times New Roman"/>
          <w:color w:val="C45911" w:themeColor="accent2" w:themeShade="BF"/>
          <w:sz w:val="24"/>
          <w:szCs w:val="24"/>
        </w:rPr>
        <w:t xml:space="preserve">general </w:t>
      </w:r>
      <w:r w:rsidR="000E1BFD">
        <w:rPr>
          <w:rFonts w:ascii="Times New Roman" w:hAnsi="Times New Roman"/>
          <w:color w:val="C45911" w:themeColor="accent2" w:themeShade="BF"/>
          <w:sz w:val="24"/>
          <w:szCs w:val="24"/>
        </w:rPr>
        <w:t xml:space="preserve">controls </w:t>
      </w:r>
      <w:r>
        <w:rPr>
          <w:rFonts w:ascii="Times New Roman" w:hAnsi="Times New Roman"/>
          <w:sz w:val="24"/>
          <w:szCs w:val="24"/>
        </w:rPr>
        <w:t xml:space="preserve">and </w:t>
      </w:r>
      <w:r w:rsidRPr="00BC536A">
        <w:rPr>
          <w:rFonts w:ascii="Times New Roman" w:hAnsi="Times New Roman"/>
          <w:color w:val="C45911" w:themeColor="accent2" w:themeShade="BF"/>
          <w:sz w:val="24"/>
          <w:szCs w:val="24"/>
        </w:rPr>
        <w:t>special controls</w:t>
      </w:r>
    </w:p>
    <w:p w14:paraId="15944AA4" w14:textId="709346B8" w:rsidR="00BC536A" w:rsidRDefault="00BC536A" w:rsidP="00BC536A">
      <w:pPr>
        <w:pStyle w:val="ListParagraph"/>
        <w:numPr>
          <w:ilvl w:val="4"/>
          <w:numId w:val="2"/>
        </w:numPr>
        <w:rPr>
          <w:rFonts w:ascii="Times New Roman" w:hAnsi="Times New Roman"/>
          <w:sz w:val="24"/>
          <w:szCs w:val="24"/>
        </w:rPr>
      </w:pPr>
      <w:r>
        <w:rPr>
          <w:rFonts w:ascii="Times New Roman" w:hAnsi="Times New Roman"/>
          <w:sz w:val="24"/>
          <w:szCs w:val="24"/>
        </w:rPr>
        <w:t>Performance standards</w:t>
      </w:r>
    </w:p>
    <w:p w14:paraId="5D0CE3E6" w14:textId="2C11D8F5" w:rsidR="00BC536A" w:rsidRDefault="000E1BFD" w:rsidP="00BC536A">
      <w:pPr>
        <w:pStyle w:val="ListParagraph"/>
        <w:numPr>
          <w:ilvl w:val="4"/>
          <w:numId w:val="2"/>
        </w:numPr>
        <w:rPr>
          <w:rFonts w:ascii="Times New Roman" w:hAnsi="Times New Roman"/>
          <w:sz w:val="24"/>
          <w:szCs w:val="24"/>
        </w:rPr>
      </w:pPr>
      <w:r>
        <w:rPr>
          <w:rFonts w:ascii="Times New Roman" w:hAnsi="Times New Roman"/>
          <w:sz w:val="24"/>
          <w:szCs w:val="24"/>
        </w:rPr>
        <w:t>Post market</w:t>
      </w:r>
      <w:r w:rsidR="00BC536A">
        <w:rPr>
          <w:rFonts w:ascii="Times New Roman" w:hAnsi="Times New Roman"/>
          <w:sz w:val="24"/>
          <w:szCs w:val="24"/>
        </w:rPr>
        <w:t xml:space="preserve"> </w:t>
      </w:r>
      <w:r>
        <w:rPr>
          <w:rFonts w:ascii="Times New Roman" w:hAnsi="Times New Roman"/>
          <w:sz w:val="24"/>
          <w:szCs w:val="24"/>
        </w:rPr>
        <w:t>surveillance</w:t>
      </w:r>
    </w:p>
    <w:p w14:paraId="78C6AC83" w14:textId="17E43A5F" w:rsidR="00BC536A" w:rsidRDefault="000E1BFD" w:rsidP="00BC536A">
      <w:pPr>
        <w:pStyle w:val="ListParagraph"/>
        <w:numPr>
          <w:ilvl w:val="4"/>
          <w:numId w:val="2"/>
        </w:numPr>
        <w:rPr>
          <w:rFonts w:ascii="Times New Roman" w:hAnsi="Times New Roman"/>
          <w:sz w:val="24"/>
          <w:szCs w:val="24"/>
        </w:rPr>
      </w:pPr>
      <w:r>
        <w:rPr>
          <w:rFonts w:ascii="Times New Roman" w:hAnsi="Times New Roman"/>
          <w:sz w:val="24"/>
          <w:szCs w:val="24"/>
        </w:rPr>
        <w:t>Patient registries</w:t>
      </w:r>
    </w:p>
    <w:p w14:paraId="299FFCD2" w14:textId="2F871195" w:rsidR="000E1BFD" w:rsidRDefault="000E1BFD" w:rsidP="00BC536A">
      <w:pPr>
        <w:pStyle w:val="ListParagraph"/>
        <w:numPr>
          <w:ilvl w:val="4"/>
          <w:numId w:val="2"/>
        </w:numPr>
        <w:rPr>
          <w:rFonts w:ascii="Times New Roman" w:hAnsi="Times New Roman"/>
          <w:sz w:val="24"/>
          <w:szCs w:val="24"/>
        </w:rPr>
      </w:pPr>
      <w:r>
        <w:rPr>
          <w:rFonts w:ascii="Times New Roman" w:hAnsi="Times New Roman"/>
          <w:sz w:val="24"/>
          <w:szCs w:val="24"/>
        </w:rPr>
        <w:t>FDA Guidelines</w:t>
      </w:r>
    </w:p>
    <w:p w14:paraId="5E846B71" w14:textId="4FDCD39D" w:rsidR="00A05005" w:rsidRPr="00F178A2" w:rsidRDefault="00872D39" w:rsidP="00F178A2">
      <w:pPr>
        <w:pStyle w:val="ListParagraph"/>
        <w:numPr>
          <w:ilvl w:val="2"/>
          <w:numId w:val="2"/>
        </w:numPr>
        <w:rPr>
          <w:rFonts w:ascii="Times New Roman" w:hAnsi="Times New Roman"/>
          <w:sz w:val="24"/>
          <w:szCs w:val="24"/>
        </w:rPr>
      </w:pPr>
      <w:r w:rsidRPr="00BC536A">
        <w:rPr>
          <w:rFonts w:ascii="Times New Roman" w:hAnsi="Times New Roman"/>
          <w:sz w:val="24"/>
          <w:szCs w:val="24"/>
        </w:rPr>
        <w:t>Class III – Devices are high risk and usually require a premarket approval (PMA) application</w:t>
      </w:r>
    </w:p>
    <w:p w14:paraId="227BB2C4" w14:textId="667921AF" w:rsidR="00872D39" w:rsidRPr="00872D39" w:rsidRDefault="00872D39" w:rsidP="00872D39">
      <w:pPr>
        <w:pStyle w:val="ListParagraph"/>
        <w:numPr>
          <w:ilvl w:val="0"/>
          <w:numId w:val="2"/>
        </w:numPr>
        <w:rPr>
          <w:rFonts w:ascii="Times New Roman" w:hAnsi="Times New Roman"/>
          <w:b/>
          <w:bCs/>
          <w:sz w:val="24"/>
          <w:szCs w:val="24"/>
        </w:rPr>
      </w:pPr>
      <w:r w:rsidRPr="00872D39">
        <w:rPr>
          <w:rFonts w:ascii="Times New Roman" w:hAnsi="Times New Roman"/>
          <w:b/>
          <w:bCs/>
          <w:sz w:val="24"/>
          <w:szCs w:val="24"/>
        </w:rPr>
        <w:t>Identify Predicate Device</w:t>
      </w:r>
    </w:p>
    <w:p w14:paraId="624B9049" w14:textId="573039D5" w:rsidR="00872D39" w:rsidRPr="00872D39" w:rsidRDefault="00872D39" w:rsidP="00872D39">
      <w:pPr>
        <w:pStyle w:val="ListParagraph"/>
        <w:numPr>
          <w:ilvl w:val="1"/>
          <w:numId w:val="2"/>
        </w:numPr>
        <w:rPr>
          <w:rFonts w:ascii="Times New Roman" w:hAnsi="Times New Roman"/>
          <w:sz w:val="24"/>
          <w:szCs w:val="24"/>
        </w:rPr>
      </w:pPr>
      <w:r w:rsidRPr="00872D39">
        <w:rPr>
          <w:rFonts w:ascii="Times New Roman" w:hAnsi="Times New Roman"/>
          <w:sz w:val="24"/>
          <w:szCs w:val="24"/>
        </w:rPr>
        <w:lastRenderedPageBreak/>
        <w:t>Research and Selection</w:t>
      </w:r>
    </w:p>
    <w:p w14:paraId="4393A795" w14:textId="0760DA78" w:rsidR="00872D39" w:rsidRDefault="00872D39" w:rsidP="00872D39">
      <w:pPr>
        <w:pStyle w:val="ListParagraph"/>
        <w:numPr>
          <w:ilvl w:val="2"/>
          <w:numId w:val="2"/>
        </w:numPr>
        <w:rPr>
          <w:rFonts w:ascii="Times New Roman" w:hAnsi="Times New Roman"/>
          <w:sz w:val="24"/>
          <w:szCs w:val="24"/>
        </w:rPr>
      </w:pPr>
      <w:r>
        <w:rPr>
          <w:rFonts w:ascii="Times New Roman" w:hAnsi="Times New Roman"/>
          <w:sz w:val="24"/>
          <w:szCs w:val="24"/>
        </w:rPr>
        <w:t>I</w:t>
      </w:r>
      <w:r w:rsidRPr="00872D39">
        <w:rPr>
          <w:rFonts w:ascii="Times New Roman" w:hAnsi="Times New Roman"/>
          <w:sz w:val="24"/>
          <w:szCs w:val="24"/>
        </w:rPr>
        <w:t xml:space="preserve">s a crucial step in the 510(k) process, as it forms the basis for demonstrating </w:t>
      </w:r>
      <w:r w:rsidRPr="00872D39">
        <w:rPr>
          <w:rFonts w:ascii="Times New Roman" w:hAnsi="Times New Roman"/>
          <w:color w:val="00B0F0"/>
          <w:sz w:val="24"/>
          <w:szCs w:val="24"/>
        </w:rPr>
        <w:t xml:space="preserve">substantial equivalence </w:t>
      </w:r>
      <w:r w:rsidRPr="00872D39">
        <w:rPr>
          <w:rFonts w:ascii="Times New Roman" w:hAnsi="Times New Roman"/>
          <w:sz w:val="24"/>
          <w:szCs w:val="24"/>
        </w:rPr>
        <w:t>of the new device to an existing, legally marketed device.</w:t>
      </w:r>
    </w:p>
    <w:p w14:paraId="2FB91BB5" w14:textId="4BF9CEE5" w:rsidR="00872D39" w:rsidRDefault="00B56B08" w:rsidP="00872D39">
      <w:pPr>
        <w:pStyle w:val="ListParagraph"/>
        <w:numPr>
          <w:ilvl w:val="2"/>
          <w:numId w:val="2"/>
        </w:numPr>
        <w:rPr>
          <w:rFonts w:ascii="Times New Roman" w:hAnsi="Times New Roman"/>
          <w:sz w:val="24"/>
          <w:szCs w:val="24"/>
        </w:rPr>
      </w:pPr>
      <w:r>
        <w:rPr>
          <w:noProof/>
        </w:rPr>
        <w:drawing>
          <wp:anchor distT="0" distB="0" distL="114300" distR="114300" simplePos="0" relativeHeight="251663360" behindDoc="0" locked="0" layoutInCell="1" allowOverlap="1" wp14:anchorId="2F481D57" wp14:editId="12E96D08">
            <wp:simplePos x="0" y="0"/>
            <wp:positionH relativeFrom="page">
              <wp:posOffset>4776495</wp:posOffset>
            </wp:positionH>
            <wp:positionV relativeFrom="paragraph">
              <wp:posOffset>8687</wp:posOffset>
            </wp:positionV>
            <wp:extent cx="2644140" cy="2168772"/>
            <wp:effectExtent l="0" t="0" r="3810" b="317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2644140" cy="2168772"/>
                    </a:xfrm>
                    <a:prstGeom prst="rect">
                      <a:avLst/>
                    </a:prstGeom>
                  </pic:spPr>
                </pic:pic>
              </a:graphicData>
            </a:graphic>
          </wp:anchor>
        </w:drawing>
      </w:r>
      <w:r w:rsidR="00872D39" w:rsidRPr="00872D39">
        <w:rPr>
          <w:rFonts w:ascii="Times New Roman" w:hAnsi="Times New Roman"/>
          <w:sz w:val="24"/>
          <w:szCs w:val="24"/>
        </w:rPr>
        <w:t>The manufacturer conducts research to identify potential predicate devices that are already legally marketed in the United States. This research may involve reviewing FDA databases, such as the 510(k) database, product catalogs, scientific literature, and other relevant sources</w:t>
      </w:r>
      <w:r w:rsidR="00872D39">
        <w:rPr>
          <w:rFonts w:ascii="Times New Roman" w:hAnsi="Times New Roman"/>
          <w:sz w:val="24"/>
          <w:szCs w:val="24"/>
        </w:rPr>
        <w:t>.</w:t>
      </w:r>
      <w:r w:rsidRPr="00B56B08">
        <w:rPr>
          <w:noProof/>
        </w:rPr>
        <w:t xml:space="preserve"> </w:t>
      </w:r>
    </w:p>
    <w:p w14:paraId="38F643F8" w14:textId="14628D45" w:rsidR="00872D39" w:rsidRDefault="00872D39" w:rsidP="00872D39">
      <w:pPr>
        <w:pStyle w:val="ListParagraph"/>
        <w:numPr>
          <w:ilvl w:val="1"/>
          <w:numId w:val="2"/>
        </w:numPr>
        <w:rPr>
          <w:rFonts w:ascii="Times New Roman" w:hAnsi="Times New Roman"/>
          <w:sz w:val="24"/>
          <w:szCs w:val="24"/>
        </w:rPr>
      </w:pPr>
      <w:r>
        <w:rPr>
          <w:rFonts w:ascii="Times New Roman" w:hAnsi="Times New Roman"/>
          <w:sz w:val="24"/>
          <w:szCs w:val="24"/>
        </w:rPr>
        <w:t>Predicate Criteria</w:t>
      </w:r>
    </w:p>
    <w:p w14:paraId="6BFED67B" w14:textId="18F878B3" w:rsidR="00872D39" w:rsidRDefault="00872D39" w:rsidP="00872D39">
      <w:pPr>
        <w:pStyle w:val="ListParagraph"/>
        <w:numPr>
          <w:ilvl w:val="2"/>
          <w:numId w:val="2"/>
        </w:numPr>
        <w:rPr>
          <w:rFonts w:ascii="Times New Roman" w:hAnsi="Times New Roman"/>
          <w:sz w:val="24"/>
          <w:szCs w:val="24"/>
        </w:rPr>
      </w:pPr>
      <w:r>
        <w:rPr>
          <w:rFonts w:ascii="Times New Roman" w:hAnsi="Times New Roman"/>
          <w:sz w:val="24"/>
          <w:szCs w:val="24"/>
        </w:rPr>
        <w:t>Device Classification</w:t>
      </w:r>
    </w:p>
    <w:p w14:paraId="7733137B" w14:textId="6B3B4680" w:rsidR="00872D39" w:rsidRDefault="00872D39" w:rsidP="00872D39">
      <w:pPr>
        <w:pStyle w:val="ListParagraph"/>
        <w:numPr>
          <w:ilvl w:val="3"/>
          <w:numId w:val="2"/>
        </w:numPr>
        <w:rPr>
          <w:rFonts w:ascii="Times New Roman" w:hAnsi="Times New Roman"/>
          <w:sz w:val="24"/>
          <w:szCs w:val="24"/>
        </w:rPr>
      </w:pPr>
      <w:r w:rsidRPr="00872D39">
        <w:rPr>
          <w:rFonts w:ascii="Times New Roman" w:hAnsi="Times New Roman"/>
          <w:sz w:val="24"/>
          <w:szCs w:val="24"/>
        </w:rPr>
        <w:t>The predicate device must be of the same regulatory class (Class I, II, or III) as the new device or, in some cases, of a lower class</w:t>
      </w:r>
    </w:p>
    <w:p w14:paraId="4246649F" w14:textId="07484E5B" w:rsidR="00872D39" w:rsidRDefault="00284902" w:rsidP="00872D39">
      <w:pPr>
        <w:pStyle w:val="ListParagraph"/>
        <w:numPr>
          <w:ilvl w:val="2"/>
          <w:numId w:val="2"/>
        </w:numPr>
        <w:rPr>
          <w:rFonts w:ascii="Times New Roman" w:hAnsi="Times New Roman"/>
          <w:sz w:val="24"/>
          <w:szCs w:val="24"/>
        </w:rPr>
      </w:pPr>
      <w:r>
        <w:rPr>
          <w:rFonts w:ascii="Times New Roman" w:hAnsi="Times New Roman"/>
          <w:sz w:val="24"/>
          <w:szCs w:val="24"/>
        </w:rPr>
        <w:t>Should have</w:t>
      </w:r>
    </w:p>
    <w:p w14:paraId="2B2764B2" w14:textId="4EBE8276" w:rsidR="00284902" w:rsidRDefault="00284902" w:rsidP="00284902">
      <w:pPr>
        <w:pStyle w:val="ListParagraph"/>
        <w:numPr>
          <w:ilvl w:val="3"/>
          <w:numId w:val="2"/>
        </w:numPr>
        <w:rPr>
          <w:rFonts w:ascii="Times New Roman" w:hAnsi="Times New Roman"/>
          <w:sz w:val="24"/>
          <w:szCs w:val="24"/>
        </w:rPr>
      </w:pPr>
      <w:r>
        <w:rPr>
          <w:rFonts w:ascii="Times New Roman" w:hAnsi="Times New Roman"/>
          <w:sz w:val="24"/>
          <w:szCs w:val="24"/>
        </w:rPr>
        <w:t>The same intended use as your device</w:t>
      </w:r>
    </w:p>
    <w:p w14:paraId="41707640" w14:textId="58E3254E" w:rsidR="00284902" w:rsidRDefault="00284902" w:rsidP="00284902">
      <w:pPr>
        <w:pStyle w:val="ListParagraph"/>
        <w:numPr>
          <w:ilvl w:val="3"/>
          <w:numId w:val="2"/>
        </w:numPr>
        <w:rPr>
          <w:rFonts w:ascii="Times New Roman" w:hAnsi="Times New Roman"/>
          <w:sz w:val="24"/>
          <w:szCs w:val="24"/>
        </w:rPr>
      </w:pPr>
      <w:r>
        <w:rPr>
          <w:rFonts w:ascii="Times New Roman" w:hAnsi="Times New Roman"/>
          <w:sz w:val="24"/>
          <w:szCs w:val="24"/>
        </w:rPr>
        <w:t>Similar technology to that involved in the function and operations of your device</w:t>
      </w:r>
    </w:p>
    <w:p w14:paraId="424CF64F" w14:textId="4F695497" w:rsidR="00284902" w:rsidRDefault="00284902" w:rsidP="00284902">
      <w:pPr>
        <w:pStyle w:val="ListParagraph"/>
        <w:numPr>
          <w:ilvl w:val="3"/>
          <w:numId w:val="2"/>
        </w:numPr>
        <w:rPr>
          <w:rFonts w:ascii="Times New Roman" w:hAnsi="Times New Roman"/>
          <w:sz w:val="24"/>
          <w:szCs w:val="24"/>
        </w:rPr>
      </w:pPr>
      <w:r>
        <w:rPr>
          <w:rFonts w:ascii="Times New Roman" w:hAnsi="Times New Roman"/>
          <w:sz w:val="24"/>
          <w:szCs w:val="24"/>
        </w:rPr>
        <w:t>The same level of safety and efficacy as your device</w:t>
      </w:r>
    </w:p>
    <w:p w14:paraId="4742ECDF" w14:textId="31C07A00" w:rsidR="00872D39" w:rsidRDefault="00872D39" w:rsidP="00872D39">
      <w:pPr>
        <w:pStyle w:val="ListParagraph"/>
        <w:numPr>
          <w:ilvl w:val="0"/>
          <w:numId w:val="2"/>
        </w:numPr>
        <w:rPr>
          <w:rFonts w:ascii="Times New Roman" w:hAnsi="Times New Roman"/>
          <w:b/>
          <w:bCs/>
          <w:sz w:val="24"/>
          <w:szCs w:val="24"/>
        </w:rPr>
      </w:pPr>
      <w:r w:rsidRPr="00872D39">
        <w:rPr>
          <w:rFonts w:ascii="Times New Roman" w:hAnsi="Times New Roman"/>
          <w:b/>
          <w:bCs/>
          <w:sz w:val="24"/>
          <w:szCs w:val="24"/>
        </w:rPr>
        <w:t>Prepare 510(k) Submission</w:t>
      </w:r>
    </w:p>
    <w:p w14:paraId="40150E64" w14:textId="2C25AE2B" w:rsidR="00F661DD" w:rsidRPr="00F661DD" w:rsidRDefault="00F661DD" w:rsidP="00F661DD">
      <w:pPr>
        <w:pStyle w:val="ListParagraph"/>
        <w:numPr>
          <w:ilvl w:val="1"/>
          <w:numId w:val="2"/>
        </w:numPr>
        <w:rPr>
          <w:rFonts w:ascii="Times New Roman" w:hAnsi="Times New Roman"/>
          <w:sz w:val="24"/>
          <w:szCs w:val="24"/>
        </w:rPr>
      </w:pPr>
      <w:r w:rsidRPr="00F661DD">
        <w:rPr>
          <w:rFonts w:ascii="Times New Roman" w:hAnsi="Times New Roman"/>
          <w:sz w:val="24"/>
          <w:szCs w:val="24"/>
        </w:rPr>
        <w:t>The manufacture compiles all necessary documentation, including device descriptions, labeling, intended use, performance data, and any clinical studies or data supporting substantial equivalence.</w:t>
      </w:r>
    </w:p>
    <w:p w14:paraId="6FBFAD8C" w14:textId="3C97703A" w:rsidR="00872D39" w:rsidRDefault="00872D39" w:rsidP="00872D39">
      <w:pPr>
        <w:pStyle w:val="ListParagraph"/>
        <w:numPr>
          <w:ilvl w:val="0"/>
          <w:numId w:val="2"/>
        </w:numPr>
        <w:rPr>
          <w:rFonts w:ascii="Times New Roman" w:hAnsi="Times New Roman"/>
          <w:b/>
          <w:bCs/>
          <w:sz w:val="24"/>
          <w:szCs w:val="24"/>
        </w:rPr>
      </w:pPr>
      <w:r w:rsidRPr="00872D39">
        <w:rPr>
          <w:rFonts w:ascii="Times New Roman" w:hAnsi="Times New Roman"/>
          <w:b/>
          <w:bCs/>
          <w:sz w:val="24"/>
          <w:szCs w:val="24"/>
        </w:rPr>
        <w:t xml:space="preserve">Submit 510(k) to FDA </w:t>
      </w:r>
    </w:p>
    <w:p w14:paraId="18B93B49" w14:textId="5B8073C7" w:rsidR="00F661DD" w:rsidRPr="00F661DD" w:rsidRDefault="00F661DD" w:rsidP="00F661DD">
      <w:pPr>
        <w:pStyle w:val="ListParagraph"/>
        <w:numPr>
          <w:ilvl w:val="1"/>
          <w:numId w:val="2"/>
        </w:numPr>
        <w:rPr>
          <w:rFonts w:ascii="Times New Roman" w:hAnsi="Times New Roman"/>
          <w:sz w:val="24"/>
          <w:szCs w:val="24"/>
        </w:rPr>
      </w:pPr>
      <w:r w:rsidRPr="00F661DD">
        <w:rPr>
          <w:rFonts w:ascii="Times New Roman" w:hAnsi="Times New Roman"/>
          <w:sz w:val="24"/>
          <w:szCs w:val="24"/>
        </w:rPr>
        <w:t>The manufacturer submits the 510(k) application to the FDA. The submission includes a cover letter, a completed FDA Form 3514, and all supporting documentation.</w:t>
      </w:r>
    </w:p>
    <w:p w14:paraId="1F9A639D" w14:textId="69E68F3A" w:rsidR="00872D39" w:rsidRDefault="00872D39" w:rsidP="00872D39">
      <w:pPr>
        <w:pStyle w:val="ListParagraph"/>
        <w:numPr>
          <w:ilvl w:val="0"/>
          <w:numId w:val="2"/>
        </w:numPr>
        <w:rPr>
          <w:rFonts w:ascii="Times New Roman" w:hAnsi="Times New Roman"/>
          <w:b/>
          <w:bCs/>
          <w:sz w:val="24"/>
          <w:szCs w:val="24"/>
        </w:rPr>
      </w:pPr>
      <w:r w:rsidRPr="00872D39">
        <w:rPr>
          <w:rFonts w:ascii="Times New Roman" w:hAnsi="Times New Roman"/>
          <w:b/>
          <w:bCs/>
          <w:sz w:val="24"/>
          <w:szCs w:val="24"/>
        </w:rPr>
        <w:t>FDA Review</w:t>
      </w:r>
    </w:p>
    <w:p w14:paraId="4D11A087" w14:textId="286B84B9" w:rsidR="00F661DD" w:rsidRPr="00F661DD" w:rsidRDefault="00F661DD" w:rsidP="00F661DD">
      <w:pPr>
        <w:pStyle w:val="ListParagraph"/>
        <w:numPr>
          <w:ilvl w:val="1"/>
          <w:numId w:val="2"/>
        </w:numPr>
        <w:rPr>
          <w:rFonts w:ascii="Times New Roman" w:hAnsi="Times New Roman"/>
          <w:sz w:val="24"/>
          <w:szCs w:val="24"/>
        </w:rPr>
      </w:pPr>
      <w:r w:rsidRPr="00F661DD">
        <w:rPr>
          <w:rFonts w:ascii="Times New Roman" w:hAnsi="Times New Roman"/>
          <w:sz w:val="24"/>
          <w:szCs w:val="24"/>
        </w:rPr>
        <w:t xml:space="preserve">Upon receiving the submission, the FDA conducts an administrative review to ensure </w:t>
      </w:r>
      <w:proofErr w:type="spellStart"/>
      <w:r w:rsidRPr="00F661DD">
        <w:rPr>
          <w:rFonts w:ascii="Times New Roman" w:hAnsi="Times New Roman"/>
          <w:sz w:val="24"/>
          <w:szCs w:val="24"/>
        </w:rPr>
        <w:t>it's</w:t>
      </w:r>
      <w:proofErr w:type="spellEnd"/>
      <w:r w:rsidRPr="00F661DD">
        <w:rPr>
          <w:rFonts w:ascii="Times New Roman" w:hAnsi="Times New Roman"/>
          <w:sz w:val="24"/>
          <w:szCs w:val="24"/>
        </w:rPr>
        <w:t xml:space="preserve"> complete and contains all necessary information. If deficiencies are found, the FDA may request additional information or clarification from the manufacturer.</w:t>
      </w:r>
    </w:p>
    <w:p w14:paraId="2E31266F" w14:textId="3FCF6B66" w:rsidR="00872D39" w:rsidRDefault="00872D39" w:rsidP="00872D39">
      <w:pPr>
        <w:pStyle w:val="ListParagraph"/>
        <w:numPr>
          <w:ilvl w:val="0"/>
          <w:numId w:val="2"/>
        </w:numPr>
        <w:rPr>
          <w:rFonts w:ascii="Times New Roman" w:hAnsi="Times New Roman"/>
          <w:b/>
          <w:bCs/>
          <w:sz w:val="24"/>
          <w:szCs w:val="24"/>
        </w:rPr>
      </w:pPr>
      <w:r w:rsidRPr="00872D39">
        <w:rPr>
          <w:rFonts w:ascii="Times New Roman" w:hAnsi="Times New Roman"/>
          <w:b/>
          <w:bCs/>
          <w:sz w:val="24"/>
          <w:szCs w:val="24"/>
        </w:rPr>
        <w:t>Substantive Review</w:t>
      </w:r>
    </w:p>
    <w:p w14:paraId="1357F8C1" w14:textId="6C0CB74B" w:rsidR="00F661DD" w:rsidRPr="00F661DD" w:rsidRDefault="00F661DD" w:rsidP="00F661DD">
      <w:pPr>
        <w:pStyle w:val="ListParagraph"/>
        <w:numPr>
          <w:ilvl w:val="1"/>
          <w:numId w:val="2"/>
        </w:numPr>
        <w:rPr>
          <w:rFonts w:ascii="Times New Roman" w:hAnsi="Times New Roman"/>
          <w:sz w:val="24"/>
          <w:szCs w:val="24"/>
        </w:rPr>
      </w:pPr>
      <w:r w:rsidRPr="00F661DD">
        <w:rPr>
          <w:rFonts w:ascii="Times New Roman" w:hAnsi="Times New Roman"/>
          <w:sz w:val="24"/>
          <w:szCs w:val="24"/>
        </w:rPr>
        <w:t>Once the submission passes the administrative review, the FDA begins the substantive review process. This involves a thorough evaluation of the device's safety and effectiveness compared to the predicate device. The FDA may consult with other experts or advisory panels during this stage.</w:t>
      </w:r>
    </w:p>
    <w:p w14:paraId="765C944A" w14:textId="3EE0B9DF" w:rsidR="00872D39" w:rsidRDefault="00872D39" w:rsidP="00872D39">
      <w:pPr>
        <w:pStyle w:val="ListParagraph"/>
        <w:numPr>
          <w:ilvl w:val="0"/>
          <w:numId w:val="2"/>
        </w:numPr>
        <w:rPr>
          <w:rFonts w:ascii="Times New Roman" w:hAnsi="Times New Roman"/>
          <w:b/>
          <w:bCs/>
          <w:sz w:val="24"/>
          <w:szCs w:val="24"/>
        </w:rPr>
      </w:pPr>
      <w:r w:rsidRPr="00872D39">
        <w:rPr>
          <w:rFonts w:ascii="Times New Roman" w:hAnsi="Times New Roman"/>
          <w:b/>
          <w:bCs/>
          <w:sz w:val="24"/>
          <w:szCs w:val="24"/>
        </w:rPr>
        <w:t>Decision</w:t>
      </w:r>
    </w:p>
    <w:p w14:paraId="02266328" w14:textId="77777777" w:rsidR="00F661DD" w:rsidRPr="00F661DD" w:rsidRDefault="00F661DD" w:rsidP="00F661DD">
      <w:pPr>
        <w:pStyle w:val="ListParagraph"/>
        <w:numPr>
          <w:ilvl w:val="1"/>
          <w:numId w:val="2"/>
        </w:numPr>
        <w:rPr>
          <w:rFonts w:ascii="Times New Roman" w:hAnsi="Times New Roman"/>
          <w:sz w:val="24"/>
          <w:szCs w:val="24"/>
        </w:rPr>
      </w:pPr>
      <w:r w:rsidRPr="00F661DD">
        <w:rPr>
          <w:rFonts w:ascii="Times New Roman" w:hAnsi="Times New Roman"/>
          <w:sz w:val="24"/>
          <w:szCs w:val="24"/>
        </w:rPr>
        <w:t>Based on the review, the FDA will make one of the following decisions:</w:t>
      </w:r>
    </w:p>
    <w:p w14:paraId="15B6A02B" w14:textId="77777777" w:rsidR="00F661DD" w:rsidRPr="00F661DD" w:rsidRDefault="00F661DD" w:rsidP="00F661DD">
      <w:pPr>
        <w:pStyle w:val="ListParagraph"/>
        <w:numPr>
          <w:ilvl w:val="2"/>
          <w:numId w:val="2"/>
        </w:numPr>
        <w:rPr>
          <w:rFonts w:ascii="Times New Roman" w:hAnsi="Times New Roman"/>
          <w:sz w:val="24"/>
          <w:szCs w:val="24"/>
        </w:rPr>
      </w:pPr>
      <w:r w:rsidRPr="00F661DD">
        <w:rPr>
          <w:rFonts w:ascii="Times New Roman" w:hAnsi="Times New Roman"/>
          <w:b/>
          <w:bCs/>
          <w:sz w:val="24"/>
          <w:szCs w:val="24"/>
        </w:rPr>
        <w:t>Substantial Equivalence Determination</w:t>
      </w:r>
      <w:r w:rsidRPr="00F661DD">
        <w:rPr>
          <w:rFonts w:ascii="Times New Roman" w:hAnsi="Times New Roman"/>
          <w:sz w:val="24"/>
          <w:szCs w:val="24"/>
        </w:rPr>
        <w:t xml:space="preserve">: If the FDA determines that the new device is substantially equivalent to the predicate device and meets all </w:t>
      </w:r>
      <w:r w:rsidRPr="00F661DD">
        <w:rPr>
          <w:rFonts w:ascii="Times New Roman" w:hAnsi="Times New Roman"/>
          <w:sz w:val="24"/>
          <w:szCs w:val="24"/>
        </w:rPr>
        <w:lastRenderedPageBreak/>
        <w:t>regulatory requirements, it issues a clearance letter. The device can then be marketed in the U.S.</w:t>
      </w:r>
    </w:p>
    <w:p w14:paraId="1A2B52AA" w14:textId="77777777" w:rsidR="00F661DD" w:rsidRPr="00F661DD" w:rsidRDefault="00F661DD" w:rsidP="00F661DD">
      <w:pPr>
        <w:pStyle w:val="ListParagraph"/>
        <w:numPr>
          <w:ilvl w:val="2"/>
          <w:numId w:val="2"/>
        </w:numPr>
        <w:rPr>
          <w:rFonts w:ascii="Times New Roman" w:hAnsi="Times New Roman"/>
          <w:sz w:val="24"/>
          <w:szCs w:val="24"/>
        </w:rPr>
      </w:pPr>
      <w:r w:rsidRPr="00F661DD">
        <w:rPr>
          <w:rFonts w:ascii="Times New Roman" w:hAnsi="Times New Roman"/>
          <w:b/>
          <w:bCs/>
          <w:sz w:val="24"/>
          <w:szCs w:val="24"/>
        </w:rPr>
        <w:t>Refusal to Accept (RTA):</w:t>
      </w:r>
      <w:r w:rsidRPr="00F661DD">
        <w:rPr>
          <w:rFonts w:ascii="Times New Roman" w:hAnsi="Times New Roman"/>
          <w:sz w:val="24"/>
          <w:szCs w:val="24"/>
        </w:rPr>
        <w:t xml:space="preserve"> If the submission is found to be incomplete or contains major deficiencies, the FDA may issue an RTA letter, indicating that the review process will not begin until the deficiencies are addressed.</w:t>
      </w:r>
    </w:p>
    <w:p w14:paraId="4E478324" w14:textId="2EE6D28F" w:rsidR="00F661DD" w:rsidRPr="00F661DD" w:rsidRDefault="00F661DD" w:rsidP="00F661DD">
      <w:pPr>
        <w:pStyle w:val="ListParagraph"/>
        <w:numPr>
          <w:ilvl w:val="2"/>
          <w:numId w:val="2"/>
        </w:numPr>
        <w:rPr>
          <w:rFonts w:ascii="Times New Roman" w:hAnsi="Times New Roman"/>
          <w:sz w:val="24"/>
          <w:szCs w:val="24"/>
        </w:rPr>
      </w:pPr>
      <w:r w:rsidRPr="00F661DD">
        <w:rPr>
          <w:rFonts w:ascii="Times New Roman" w:hAnsi="Times New Roman"/>
          <w:b/>
          <w:bCs/>
          <w:sz w:val="24"/>
          <w:szCs w:val="24"/>
        </w:rPr>
        <w:t>Not Substantially Equivalent (NSE)</w:t>
      </w:r>
      <w:r w:rsidRPr="00F661DD">
        <w:rPr>
          <w:rFonts w:ascii="Times New Roman" w:hAnsi="Times New Roman"/>
          <w:sz w:val="24"/>
          <w:szCs w:val="24"/>
        </w:rPr>
        <w:t>: If the FDA determines that the new device is not substantially equivalent to the predicate or raises new questions of safety or effectiveness, it issues an NSE letter. The manufacturer may appeal this decision or submit additional information to address concerns.</w:t>
      </w:r>
    </w:p>
    <w:p w14:paraId="0778B99A" w14:textId="682877B6" w:rsidR="00872D39" w:rsidRDefault="00872D39" w:rsidP="00872D39">
      <w:pPr>
        <w:pStyle w:val="ListParagraph"/>
        <w:numPr>
          <w:ilvl w:val="0"/>
          <w:numId w:val="2"/>
        </w:numPr>
        <w:rPr>
          <w:rFonts w:ascii="Times New Roman" w:hAnsi="Times New Roman"/>
          <w:b/>
          <w:bCs/>
          <w:sz w:val="24"/>
          <w:szCs w:val="24"/>
        </w:rPr>
      </w:pPr>
      <w:r w:rsidRPr="00872D39">
        <w:rPr>
          <w:rFonts w:ascii="Times New Roman" w:hAnsi="Times New Roman"/>
          <w:b/>
          <w:bCs/>
          <w:sz w:val="24"/>
          <w:szCs w:val="24"/>
        </w:rPr>
        <w:t>Post-Market Requirements</w:t>
      </w:r>
    </w:p>
    <w:p w14:paraId="7385710F" w14:textId="5071EF5A" w:rsidR="00F661DD" w:rsidRDefault="00F661DD" w:rsidP="00F661DD">
      <w:pPr>
        <w:pStyle w:val="ListParagraph"/>
        <w:numPr>
          <w:ilvl w:val="1"/>
          <w:numId w:val="2"/>
        </w:numPr>
        <w:rPr>
          <w:rFonts w:ascii="Times New Roman" w:hAnsi="Times New Roman"/>
          <w:sz w:val="24"/>
          <w:szCs w:val="24"/>
        </w:rPr>
      </w:pPr>
      <w:r w:rsidRPr="00F661DD">
        <w:rPr>
          <w:rFonts w:ascii="Times New Roman" w:hAnsi="Times New Roman"/>
          <w:sz w:val="24"/>
          <w:szCs w:val="24"/>
        </w:rPr>
        <w:t>After clearance, the manufacturer must comply with post-market requirements, including Quality System Regulations (QSR), adverse event reporting, and any specific post-market surveillance studies required by the FDA.</w:t>
      </w:r>
    </w:p>
    <w:p w14:paraId="3DF82C02" w14:textId="30747888" w:rsidR="00F661DD" w:rsidRDefault="00F661DD" w:rsidP="00F661DD">
      <w:pPr>
        <w:pStyle w:val="ListParagraph"/>
        <w:numPr>
          <w:ilvl w:val="2"/>
          <w:numId w:val="2"/>
        </w:numPr>
        <w:rPr>
          <w:rFonts w:ascii="Times New Roman" w:hAnsi="Times New Roman"/>
          <w:sz w:val="24"/>
          <w:szCs w:val="24"/>
        </w:rPr>
      </w:pPr>
      <w:r w:rsidRPr="00F661DD">
        <w:rPr>
          <w:rFonts w:ascii="Times New Roman" w:hAnsi="Times New Roman"/>
          <w:sz w:val="24"/>
          <w:szCs w:val="24"/>
        </w:rPr>
        <w:t>Quality System Regulations (QSR)</w:t>
      </w:r>
    </w:p>
    <w:p w14:paraId="3363AA02" w14:textId="77777777" w:rsidR="005E70C5" w:rsidRPr="005E70C5" w:rsidRDefault="005E70C5" w:rsidP="00F661DD">
      <w:pPr>
        <w:pStyle w:val="ListParagraph"/>
        <w:numPr>
          <w:ilvl w:val="3"/>
          <w:numId w:val="2"/>
        </w:numPr>
        <w:rPr>
          <w:rFonts w:ascii="Times New Roman" w:hAnsi="Times New Roman"/>
          <w:sz w:val="28"/>
          <w:szCs w:val="28"/>
        </w:rPr>
      </w:pPr>
      <w:r w:rsidRPr="005E70C5">
        <w:rPr>
          <w:rFonts w:ascii="Times New Roman" w:hAnsi="Times New Roman"/>
          <w:color w:val="0D0D0D"/>
          <w:sz w:val="24"/>
          <w:szCs w:val="24"/>
          <w:shd w:val="clear" w:color="auto" w:fill="FFFFFF"/>
        </w:rPr>
        <w:t xml:space="preserve">Ensure that medical device manufacturers follow good manufacturing practices (GMP) and maintain quality control throughout the manufacturing process. </w:t>
      </w:r>
    </w:p>
    <w:p w14:paraId="7F40D796" w14:textId="47DDF7C2" w:rsidR="00F661DD" w:rsidRPr="00B56B08" w:rsidRDefault="005E70C5" w:rsidP="00F661DD">
      <w:pPr>
        <w:pStyle w:val="ListParagraph"/>
        <w:numPr>
          <w:ilvl w:val="3"/>
          <w:numId w:val="2"/>
        </w:numPr>
        <w:rPr>
          <w:rFonts w:ascii="Times New Roman" w:hAnsi="Times New Roman"/>
          <w:sz w:val="28"/>
          <w:szCs w:val="28"/>
        </w:rPr>
      </w:pPr>
      <w:r w:rsidRPr="005E70C5">
        <w:rPr>
          <w:rFonts w:ascii="Times New Roman" w:hAnsi="Times New Roman"/>
          <w:color w:val="0D0D0D"/>
          <w:sz w:val="24"/>
          <w:szCs w:val="24"/>
          <w:shd w:val="clear" w:color="auto" w:fill="FFFFFF"/>
        </w:rPr>
        <w:t>The QSR is outlined in 21 CFR Part 820.</w:t>
      </w:r>
    </w:p>
    <w:p w14:paraId="010E8426" w14:textId="2976B481" w:rsidR="00B56B08" w:rsidRPr="00B56B08" w:rsidRDefault="00B56B08" w:rsidP="00B56B08">
      <w:pPr>
        <w:rPr>
          <w:rFonts w:ascii="Times New Roman" w:hAnsi="Times New Roman"/>
          <w:sz w:val="28"/>
          <w:szCs w:val="28"/>
        </w:rPr>
      </w:pPr>
      <w:r>
        <w:rPr>
          <w:rFonts w:ascii="Times New Roman" w:hAnsi="Times New Roman"/>
          <w:noProof/>
          <w:sz w:val="28"/>
          <w:szCs w:val="28"/>
        </w:rPr>
        <w:drawing>
          <wp:anchor distT="0" distB="0" distL="114300" distR="114300" simplePos="0" relativeHeight="251664384" behindDoc="0" locked="0" layoutInCell="1" allowOverlap="1" wp14:anchorId="30B3E186" wp14:editId="4543724D">
            <wp:simplePos x="0" y="0"/>
            <wp:positionH relativeFrom="margin">
              <wp:posOffset>989330</wp:posOffset>
            </wp:positionH>
            <wp:positionV relativeFrom="paragraph">
              <wp:posOffset>177496</wp:posOffset>
            </wp:positionV>
            <wp:extent cx="4330065" cy="2851785"/>
            <wp:effectExtent l="0" t="0" r="0" b="571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4330065" cy="2851785"/>
                    </a:xfrm>
                    <a:prstGeom prst="rect">
                      <a:avLst/>
                    </a:prstGeom>
                  </pic:spPr>
                </pic:pic>
              </a:graphicData>
            </a:graphic>
            <wp14:sizeRelH relativeFrom="margin">
              <wp14:pctWidth>0</wp14:pctWidth>
            </wp14:sizeRelH>
            <wp14:sizeRelV relativeFrom="margin">
              <wp14:pctHeight>0</wp14:pctHeight>
            </wp14:sizeRelV>
          </wp:anchor>
        </w:drawing>
      </w:r>
    </w:p>
    <w:sectPr w:rsidR="00B56B08" w:rsidRPr="00B56B08" w:rsidSect="00163921">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AE08A" w14:textId="77777777" w:rsidR="008D042F" w:rsidRDefault="008D042F" w:rsidP="008D042F">
      <w:r>
        <w:separator/>
      </w:r>
    </w:p>
  </w:endnote>
  <w:endnote w:type="continuationSeparator" w:id="0">
    <w:p w14:paraId="235F9B8D" w14:textId="77777777" w:rsidR="008D042F" w:rsidRDefault="008D042F" w:rsidP="008D0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F92CC" w14:textId="6049A11A" w:rsidR="00C633EB" w:rsidRDefault="008D042F">
    <w:pPr>
      <w:pStyle w:val="Footer"/>
    </w:pPr>
    <w:r>
      <w:t>TCU 4.2024</w:t>
    </w:r>
  </w:p>
  <w:p w14:paraId="03B64A13" w14:textId="5887D0DC" w:rsidR="00B53EB3" w:rsidRPr="00B56B08" w:rsidRDefault="00B53EB3">
    <w:pPr>
      <w:pStyle w:val="Footer"/>
      <w:rPr>
        <w:rFonts w:asciiTheme="majorHAnsi" w:hAnsiTheme="majorHAnsi" w:cstheme="majorHAnsi"/>
        <w:sz w:val="18"/>
        <w:szCs w:val="18"/>
      </w:rPr>
    </w:pPr>
    <w:r w:rsidRPr="00B56B08">
      <w:rPr>
        <w:rFonts w:asciiTheme="majorHAnsi" w:hAnsiTheme="majorHAnsi" w:cstheme="majorHAnsi"/>
        <w:sz w:val="18"/>
        <w:szCs w:val="18"/>
      </w:rPr>
      <w:t>Reference: A Practical Guide to FDA’s Food and Drug Law and Regulation 7</w:t>
    </w:r>
    <w:r w:rsidRPr="00B56B08">
      <w:rPr>
        <w:rFonts w:asciiTheme="majorHAnsi" w:hAnsiTheme="majorHAnsi" w:cstheme="majorHAnsi"/>
        <w:sz w:val="18"/>
        <w:szCs w:val="18"/>
        <w:vertAlign w:val="superscript"/>
      </w:rPr>
      <w:t>th</w:t>
    </w:r>
    <w:r w:rsidRPr="00B56B08">
      <w:rPr>
        <w:rFonts w:asciiTheme="majorHAnsi" w:hAnsiTheme="majorHAnsi" w:cstheme="majorHAnsi"/>
        <w:sz w:val="18"/>
        <w:szCs w:val="18"/>
      </w:rPr>
      <w:t xml:space="preserve"> Edition</w:t>
    </w:r>
  </w:p>
  <w:p w14:paraId="6D6477DD" w14:textId="314DE6A0" w:rsidR="00B56B08" w:rsidRPr="00B56B08" w:rsidRDefault="00B56B08">
    <w:pPr>
      <w:pStyle w:val="Footer"/>
      <w:rPr>
        <w:rFonts w:asciiTheme="majorHAnsi" w:hAnsiTheme="majorHAnsi" w:cstheme="majorHAnsi"/>
        <w:sz w:val="18"/>
        <w:szCs w:val="18"/>
      </w:rPr>
    </w:pPr>
    <w:hyperlink r:id="rId1" w:history="1">
      <w:r w:rsidRPr="00B56B08">
        <w:rPr>
          <w:rStyle w:val="Hyperlink"/>
          <w:rFonts w:asciiTheme="majorHAnsi" w:hAnsiTheme="majorHAnsi" w:cstheme="majorHAnsi"/>
          <w:sz w:val="18"/>
          <w:szCs w:val="18"/>
        </w:rPr>
        <w:t>Premarket Notification 510(k) | FDA</w:t>
      </w:r>
    </w:hyperlink>
  </w:p>
  <w:p w14:paraId="4F9F5C3F" w14:textId="77777777" w:rsidR="00C633EB" w:rsidRPr="00C72819" w:rsidRDefault="00844CEB">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5DC91" w14:textId="77777777" w:rsidR="008D042F" w:rsidRDefault="008D042F" w:rsidP="008D042F">
      <w:r>
        <w:separator/>
      </w:r>
    </w:p>
  </w:footnote>
  <w:footnote w:type="continuationSeparator" w:id="0">
    <w:p w14:paraId="2E08E7EA" w14:textId="77777777" w:rsidR="008D042F" w:rsidRDefault="008D042F" w:rsidP="008D0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820CF"/>
    <w:multiLevelType w:val="hybridMultilevel"/>
    <w:tmpl w:val="9FEA67DC"/>
    <w:lvl w:ilvl="0" w:tplc="BE9E4F04">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6D1C10"/>
    <w:multiLevelType w:val="hybridMultilevel"/>
    <w:tmpl w:val="EFDA01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ysTQ2tzAyNDEwtDRR0lEKTi0uzszPAykwrAUAiHSxjCwAAAA="/>
  </w:docVars>
  <w:rsids>
    <w:rsidRoot w:val="00B236A9"/>
    <w:rsid w:val="000E1BFD"/>
    <w:rsid w:val="001278FD"/>
    <w:rsid w:val="0026237A"/>
    <w:rsid w:val="00284902"/>
    <w:rsid w:val="00381F66"/>
    <w:rsid w:val="005E70C5"/>
    <w:rsid w:val="00844CEB"/>
    <w:rsid w:val="00872D39"/>
    <w:rsid w:val="008D042F"/>
    <w:rsid w:val="00976C1B"/>
    <w:rsid w:val="00A05005"/>
    <w:rsid w:val="00B10E03"/>
    <w:rsid w:val="00B236A9"/>
    <w:rsid w:val="00B53EB3"/>
    <w:rsid w:val="00B56B08"/>
    <w:rsid w:val="00BC536A"/>
    <w:rsid w:val="00F178A2"/>
    <w:rsid w:val="00F66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C0FF8"/>
  <w15:chartTrackingRefBased/>
  <w15:docId w15:val="{F989C73F-991E-4D18-9C03-E0DC6AA3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E0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36A9"/>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B236A9"/>
    <w:pPr>
      <w:tabs>
        <w:tab w:val="center" w:pos="4680"/>
        <w:tab w:val="right" w:pos="9360"/>
      </w:tabs>
    </w:pPr>
  </w:style>
  <w:style w:type="character" w:customStyle="1" w:styleId="FooterChar">
    <w:name w:val="Footer Char"/>
    <w:basedOn w:val="DefaultParagraphFont"/>
    <w:link w:val="Footer"/>
    <w:uiPriority w:val="99"/>
    <w:rsid w:val="00B236A9"/>
    <w:rPr>
      <w:rFonts w:ascii="Calibri" w:eastAsia="Calibri" w:hAnsi="Calibri" w:cs="Times New Roman"/>
    </w:rPr>
  </w:style>
  <w:style w:type="paragraph" w:styleId="ListParagraph">
    <w:name w:val="List Paragraph"/>
    <w:basedOn w:val="Normal"/>
    <w:uiPriority w:val="34"/>
    <w:qFormat/>
    <w:rsid w:val="00B10E03"/>
    <w:pPr>
      <w:ind w:left="720"/>
      <w:contextualSpacing/>
    </w:pPr>
  </w:style>
  <w:style w:type="table" w:styleId="TableGrid">
    <w:name w:val="Table Grid"/>
    <w:basedOn w:val="TableNormal"/>
    <w:uiPriority w:val="39"/>
    <w:rsid w:val="00B10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042F"/>
    <w:pPr>
      <w:tabs>
        <w:tab w:val="center" w:pos="4680"/>
        <w:tab w:val="right" w:pos="9360"/>
      </w:tabs>
    </w:pPr>
  </w:style>
  <w:style w:type="character" w:customStyle="1" w:styleId="HeaderChar">
    <w:name w:val="Header Char"/>
    <w:basedOn w:val="DefaultParagraphFont"/>
    <w:link w:val="Header"/>
    <w:uiPriority w:val="99"/>
    <w:rsid w:val="008D042F"/>
    <w:rPr>
      <w:rFonts w:ascii="Calibri" w:eastAsia="Calibri" w:hAnsi="Calibri" w:cs="Times New Roman"/>
    </w:rPr>
  </w:style>
  <w:style w:type="character" w:styleId="Hyperlink">
    <w:name w:val="Hyperlink"/>
    <w:basedOn w:val="DefaultParagraphFont"/>
    <w:uiPriority w:val="99"/>
    <w:unhideWhenUsed/>
    <w:rsid w:val="00B53EB3"/>
    <w:rPr>
      <w:color w:val="0563C1" w:themeColor="hyperlink"/>
      <w:u w:val="single"/>
    </w:rPr>
  </w:style>
  <w:style w:type="character" w:styleId="UnresolvedMention">
    <w:name w:val="Unresolved Mention"/>
    <w:basedOn w:val="DefaultParagraphFont"/>
    <w:uiPriority w:val="99"/>
    <w:semiHidden/>
    <w:unhideWhenUsed/>
    <w:rsid w:val="00B53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765821">
      <w:bodyDiv w:val="1"/>
      <w:marLeft w:val="0"/>
      <w:marRight w:val="0"/>
      <w:marTop w:val="0"/>
      <w:marBottom w:val="0"/>
      <w:divBdr>
        <w:top w:val="none" w:sz="0" w:space="0" w:color="auto"/>
        <w:left w:val="none" w:sz="0" w:space="0" w:color="auto"/>
        <w:bottom w:val="none" w:sz="0" w:space="0" w:color="auto"/>
        <w:right w:val="none" w:sz="0" w:space="0" w:color="auto"/>
      </w:divBdr>
    </w:div>
    <w:div w:id="196739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flickr.com/photos/17033616@N08/27520957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to.wuestenigel.com/cotton-swabs-in-a-trash-can-with-there-is-no-planet-b-text/" TargetMode="External"/><Relationship Id="rId5" Type="http://schemas.openxmlformats.org/officeDocument/2006/relationships/footnotes" Target="footnotes.xml"/><Relationship Id="rId15" Type="http://schemas.openxmlformats.org/officeDocument/2006/relationships/hyperlink" Target="https://pixnio.com/objects/number-of-items-representing-homemade-devices-commonly-found-in-the-marijuana-smokers-repertoire"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pxhere.com/en/photo/1561605" TargetMode="Externa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hyperlink" Target="https://www.fda.gov/medical-devices/premarket-submissions-selecting-and-preparing-correct-submission/premarket-notification-510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4212</TotalTime>
  <Pages>4</Pages>
  <Words>1010</Words>
  <Characters>5396</Characters>
  <Application>Microsoft Office Word</Application>
  <DocSecurity>0</DocSecurity>
  <Lines>128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Mika</dc:creator>
  <cp:keywords/>
  <dc:description/>
  <cp:lastModifiedBy>Taylor, Mika</cp:lastModifiedBy>
  <cp:revision>10</cp:revision>
  <dcterms:created xsi:type="dcterms:W3CDTF">2024-04-05T18:37:00Z</dcterms:created>
  <dcterms:modified xsi:type="dcterms:W3CDTF">2024-05-30T19:49:00Z</dcterms:modified>
</cp:coreProperties>
</file>