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CF" w:rsidRDefault="00A42202" w:rsidP="003709CF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FE">
        <w:rPr>
          <w:b/>
          <w:sz w:val="32"/>
          <w:szCs w:val="32"/>
        </w:rPr>
        <w:t>Recruitment Guidelines</w:t>
      </w:r>
      <w:r w:rsidR="00844275">
        <w:rPr>
          <w:b/>
          <w:sz w:val="32"/>
          <w:szCs w:val="32"/>
        </w:rPr>
        <w:t xml:space="preserve"> </w:t>
      </w:r>
    </w:p>
    <w:p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:rsidR="00844275" w:rsidRPr="00E622BB" w:rsidRDefault="00304593" w:rsidP="004B3ED5">
      <w:pPr>
        <w:pStyle w:val="NoSpacing"/>
        <w:jc w:val="both"/>
        <w:rPr>
          <w:b/>
          <w:sz w:val="32"/>
          <w:szCs w:val="32"/>
        </w:rPr>
      </w:pPr>
      <w:r>
        <w:rPr>
          <w:sz w:val="24"/>
          <w:szCs w:val="24"/>
        </w:rPr>
        <w:t>T</w:t>
      </w:r>
      <w:r w:rsidR="00D074FE">
        <w:rPr>
          <w:sz w:val="24"/>
          <w:szCs w:val="24"/>
        </w:rPr>
        <w:t>he TCU Institutional Review Board (IRB) requires any recr</w:t>
      </w:r>
      <w:r w:rsidR="00A77444">
        <w:rPr>
          <w:sz w:val="24"/>
          <w:szCs w:val="24"/>
        </w:rPr>
        <w:t xml:space="preserve">uitment materials </w:t>
      </w:r>
      <w:r w:rsidR="00D074FE">
        <w:rPr>
          <w:sz w:val="24"/>
          <w:szCs w:val="24"/>
        </w:rPr>
        <w:t>involving human subject participants to be reviewed and approved by the IRB</w:t>
      </w:r>
      <w:r w:rsidR="00CC458B">
        <w:rPr>
          <w:sz w:val="24"/>
          <w:szCs w:val="24"/>
        </w:rPr>
        <w:t xml:space="preserve">, as mentioned by Federal Regulations under </w:t>
      </w:r>
      <w:hyperlink r:id="rId9" w:anchor="se45.1.46_1111" w:history="1">
        <w:r w:rsidR="00F27E26" w:rsidRPr="00F27E26">
          <w:rPr>
            <w:rStyle w:val="Hyperlink"/>
            <w:sz w:val="24"/>
            <w:szCs w:val="24"/>
          </w:rPr>
          <w:t>46.111</w:t>
        </w:r>
      </w:hyperlink>
      <w:r w:rsidR="00CC458B">
        <w:rPr>
          <w:sz w:val="24"/>
          <w:szCs w:val="24"/>
        </w:rPr>
        <w:t>,</w:t>
      </w:r>
      <w:r w:rsidR="008A5283">
        <w:rPr>
          <w:sz w:val="24"/>
          <w:szCs w:val="24"/>
        </w:rPr>
        <w:t xml:space="preserve"> and describe</w:t>
      </w:r>
      <w:r w:rsidR="00F27E26">
        <w:rPr>
          <w:sz w:val="24"/>
          <w:szCs w:val="24"/>
        </w:rPr>
        <w:t>d</w:t>
      </w:r>
      <w:r w:rsidR="008A5283">
        <w:rPr>
          <w:sz w:val="24"/>
          <w:szCs w:val="24"/>
        </w:rPr>
        <w:t xml:space="preserve"> under</w:t>
      </w:r>
      <w:r w:rsidR="00CC458B">
        <w:rPr>
          <w:sz w:val="24"/>
          <w:szCs w:val="24"/>
        </w:rPr>
        <w:t xml:space="preserve"> </w:t>
      </w:r>
      <w:hyperlink r:id="rId10" w:anchor="se45.1.46_1116" w:history="1">
        <w:r w:rsidR="00CC458B" w:rsidRPr="008A5283">
          <w:rPr>
            <w:rStyle w:val="Hyperlink"/>
            <w:sz w:val="24"/>
            <w:szCs w:val="24"/>
          </w:rPr>
          <w:t>46.116</w:t>
        </w:r>
      </w:hyperlink>
      <w:r w:rsidR="008A5283">
        <w:rPr>
          <w:sz w:val="24"/>
          <w:szCs w:val="24"/>
        </w:rPr>
        <w:t xml:space="preserve"> </w:t>
      </w:r>
      <w:r w:rsidR="00CC458B">
        <w:rPr>
          <w:sz w:val="24"/>
          <w:szCs w:val="24"/>
        </w:rPr>
        <w:t xml:space="preserve">and </w:t>
      </w:r>
      <w:hyperlink r:id="rId11" w:anchor="se45.1.46_1117" w:history="1">
        <w:r w:rsidR="00CC458B" w:rsidRPr="008A5283">
          <w:rPr>
            <w:rStyle w:val="Hyperlink"/>
            <w:sz w:val="24"/>
            <w:szCs w:val="24"/>
          </w:rPr>
          <w:t>46.117</w:t>
        </w:r>
      </w:hyperlink>
      <w:r w:rsidR="00D074FE">
        <w:rPr>
          <w:sz w:val="24"/>
          <w:szCs w:val="24"/>
        </w:rPr>
        <w:t xml:space="preserve">. The following guidelines provide </w:t>
      </w:r>
      <w:r w:rsidR="00174ED6">
        <w:rPr>
          <w:sz w:val="24"/>
          <w:szCs w:val="24"/>
        </w:rPr>
        <w:t>an overview of steps</w:t>
      </w:r>
      <w:r w:rsidR="00D074FE">
        <w:rPr>
          <w:sz w:val="24"/>
          <w:szCs w:val="24"/>
        </w:rPr>
        <w:t xml:space="preserve"> that must be included in your recruitment materials </w:t>
      </w:r>
      <w:r>
        <w:rPr>
          <w:sz w:val="24"/>
          <w:szCs w:val="24"/>
        </w:rPr>
        <w:t xml:space="preserve">and language. </w:t>
      </w:r>
      <w:r w:rsidR="00A77444" w:rsidRPr="00A77444">
        <w:rPr>
          <w:sz w:val="24"/>
          <w:szCs w:val="24"/>
        </w:rPr>
        <w:t>R</w:t>
      </w:r>
      <w:r w:rsidR="008A5283">
        <w:rPr>
          <w:sz w:val="24"/>
          <w:szCs w:val="24"/>
        </w:rPr>
        <w:t>ecruitment materials may consist of</w:t>
      </w:r>
      <w:r w:rsidR="00A77444" w:rsidRPr="00A77444">
        <w:rPr>
          <w:sz w:val="24"/>
          <w:szCs w:val="24"/>
        </w:rPr>
        <w:t xml:space="preserve"> flyers, recruitment letters, recr</w:t>
      </w:r>
      <w:r w:rsidR="00A77444">
        <w:rPr>
          <w:sz w:val="24"/>
          <w:szCs w:val="24"/>
        </w:rPr>
        <w:t>uitment email</w:t>
      </w:r>
      <w:r w:rsidR="008A2B60">
        <w:rPr>
          <w:sz w:val="24"/>
          <w:szCs w:val="24"/>
        </w:rPr>
        <w:t xml:space="preserve">s, advertisements, </w:t>
      </w:r>
      <w:r w:rsidR="00A77444" w:rsidRPr="00A77444">
        <w:rPr>
          <w:sz w:val="24"/>
          <w:szCs w:val="24"/>
        </w:rPr>
        <w:t xml:space="preserve">posting on social media, </w:t>
      </w:r>
      <w:r w:rsidR="00A77444">
        <w:rPr>
          <w:sz w:val="24"/>
          <w:szCs w:val="24"/>
        </w:rPr>
        <w:t xml:space="preserve">and </w:t>
      </w:r>
      <w:r w:rsidR="00A77444" w:rsidRPr="00A77444">
        <w:rPr>
          <w:sz w:val="24"/>
          <w:szCs w:val="24"/>
        </w:rPr>
        <w:t>among other strategies</w:t>
      </w:r>
      <w:r w:rsidR="00A77444">
        <w:rPr>
          <w:sz w:val="24"/>
          <w:szCs w:val="24"/>
        </w:rPr>
        <w:t>.</w:t>
      </w:r>
      <w:r w:rsidR="00D074FE">
        <w:rPr>
          <w:sz w:val="24"/>
          <w:szCs w:val="24"/>
        </w:rPr>
        <w:t xml:space="preserve"> 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Therefore, the required elements</w:t>
      </w:r>
      <w:r w:rsidR="00174ED6">
        <w:rPr>
          <w:sz w:val="24"/>
          <w:szCs w:val="24"/>
        </w:rPr>
        <w:t xml:space="preserve"> to be included</w:t>
      </w:r>
      <w:r>
        <w:rPr>
          <w:sz w:val="24"/>
          <w:szCs w:val="24"/>
        </w:rPr>
        <w:t xml:space="preserve"> are: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304593" w:rsidRDefault="00304593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Texas Christian University (TCU) name or logo</w:t>
      </w:r>
      <w:r w:rsidR="00A77444">
        <w:rPr>
          <w:sz w:val="24"/>
          <w:szCs w:val="24"/>
        </w:rPr>
        <w:t>;</w:t>
      </w:r>
    </w:p>
    <w:p w:rsidR="00304593" w:rsidRDefault="00304593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Research study name and IRB</w:t>
      </w:r>
      <w:r w:rsidR="00494DCC">
        <w:rPr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 w:rsidR="00A77444">
        <w:rPr>
          <w:sz w:val="24"/>
          <w:szCs w:val="24"/>
        </w:rPr>
        <w:t xml:space="preserve">; </w:t>
      </w:r>
    </w:p>
    <w:p w:rsidR="00304593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 Investigator’s name</w:t>
      </w:r>
      <w:r w:rsidR="00174ED6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names of other (co)investigators;</w:t>
      </w:r>
    </w:p>
    <w:p w:rsidR="00A77444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describe the research study and its purpose;</w:t>
      </w:r>
    </w:p>
    <w:p w:rsidR="00A77444" w:rsidRDefault="00F27E26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bookmarkStart w:id="0" w:name="_Hlk51227467"/>
      <w:r>
        <w:rPr>
          <w:sz w:val="24"/>
          <w:szCs w:val="24"/>
        </w:rPr>
        <w:t>Briefly describe</w:t>
      </w:r>
      <w:bookmarkEnd w:id="0"/>
      <w:r>
        <w:rPr>
          <w:sz w:val="24"/>
          <w:szCs w:val="24"/>
        </w:rPr>
        <w:t xml:space="preserve"> eligibility and/or</w:t>
      </w:r>
      <w:r w:rsidR="00A77444">
        <w:rPr>
          <w:sz w:val="24"/>
          <w:szCs w:val="24"/>
        </w:rPr>
        <w:t xml:space="preserve"> inclusion criteria, if applicable;</w:t>
      </w:r>
    </w:p>
    <w:p w:rsidR="00D44909" w:rsidRDefault="00D44909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D44909">
        <w:rPr>
          <w:sz w:val="24"/>
          <w:szCs w:val="24"/>
        </w:rPr>
        <w:t xml:space="preserve">Briefly describe </w:t>
      </w:r>
      <w:r>
        <w:rPr>
          <w:sz w:val="24"/>
          <w:szCs w:val="24"/>
        </w:rPr>
        <w:t>the amount/length of time or other commitment requirements;</w:t>
      </w:r>
    </w:p>
    <w:p w:rsidR="00A021A2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A021A2">
        <w:rPr>
          <w:sz w:val="24"/>
          <w:szCs w:val="24"/>
        </w:rPr>
        <w:t>describe expectations/ commitments from subjects for participation;</w:t>
      </w:r>
    </w:p>
    <w:p w:rsidR="00A021A2" w:rsidRDefault="00A021A2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describe compensation, if applicable</w:t>
      </w:r>
      <w:r w:rsidR="00D44909">
        <w:rPr>
          <w:sz w:val="24"/>
          <w:szCs w:val="24"/>
        </w:rPr>
        <w:t xml:space="preserve"> and should not standout or be in bold</w:t>
      </w:r>
      <w:r>
        <w:rPr>
          <w:sz w:val="24"/>
          <w:szCs w:val="24"/>
        </w:rPr>
        <w:t xml:space="preserve">; </w:t>
      </w:r>
    </w:p>
    <w:p w:rsidR="00A77444" w:rsidRPr="00A77444" w:rsidRDefault="00D44909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44909">
        <w:rPr>
          <w:sz w:val="24"/>
          <w:szCs w:val="24"/>
        </w:rPr>
        <w:t xml:space="preserve">he location of the </w:t>
      </w:r>
      <w:r w:rsidR="00215561" w:rsidRPr="00D44909">
        <w:rPr>
          <w:sz w:val="24"/>
          <w:szCs w:val="24"/>
        </w:rPr>
        <w:t>research </w:t>
      </w:r>
      <w:r w:rsidR="00215561">
        <w:rPr>
          <w:sz w:val="24"/>
          <w:szCs w:val="24"/>
        </w:rPr>
        <w:t>c</w:t>
      </w:r>
      <w:r w:rsidR="00215561" w:rsidRPr="00D44909">
        <w:rPr>
          <w:sz w:val="24"/>
          <w:szCs w:val="24"/>
        </w:rPr>
        <w:t>ontact</w:t>
      </w:r>
      <w:r w:rsidR="00A021A2">
        <w:rPr>
          <w:sz w:val="24"/>
          <w:szCs w:val="24"/>
        </w:rPr>
        <w:t xml:space="preserve"> details of research study team</w:t>
      </w:r>
      <w:r w:rsidR="006E752C">
        <w:rPr>
          <w:sz w:val="24"/>
          <w:szCs w:val="24"/>
        </w:rPr>
        <w:t>.</w:t>
      </w:r>
      <w:r w:rsidR="00A021A2">
        <w:rPr>
          <w:sz w:val="24"/>
          <w:szCs w:val="24"/>
        </w:rPr>
        <w:t xml:space="preserve">  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4B3ED5" w:rsidRDefault="00AE3140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videos and</w:t>
      </w:r>
      <w:r w:rsidR="004B3ED5">
        <w:rPr>
          <w:sz w:val="24"/>
          <w:szCs w:val="24"/>
        </w:rPr>
        <w:t xml:space="preserve">/or </w:t>
      </w:r>
      <w:r>
        <w:rPr>
          <w:sz w:val="24"/>
          <w:szCs w:val="24"/>
        </w:rPr>
        <w:t>social media is part of recruitment, please provide a complete script</w:t>
      </w:r>
      <w:r w:rsidR="004B3ED5">
        <w:rPr>
          <w:sz w:val="24"/>
          <w:szCs w:val="24"/>
        </w:rPr>
        <w:t xml:space="preserve"> that will be used in</w:t>
      </w:r>
      <w:r w:rsidR="00F27E26">
        <w:rPr>
          <w:sz w:val="24"/>
          <w:szCs w:val="24"/>
        </w:rPr>
        <w:t xml:space="preserve"> the</w:t>
      </w:r>
      <w:r w:rsidR="004B3ED5">
        <w:rPr>
          <w:sz w:val="24"/>
          <w:szCs w:val="24"/>
        </w:rPr>
        <w:t xml:space="preserve"> recording/posting. A</w:t>
      </w:r>
      <w:r>
        <w:rPr>
          <w:sz w:val="24"/>
          <w:szCs w:val="24"/>
        </w:rPr>
        <w:t>ny materials</w:t>
      </w:r>
      <w:r w:rsidR="004B3ED5">
        <w:rPr>
          <w:sz w:val="24"/>
          <w:szCs w:val="24"/>
        </w:rPr>
        <w:t xml:space="preserve"> </w:t>
      </w:r>
      <w:r>
        <w:rPr>
          <w:sz w:val="24"/>
          <w:szCs w:val="24"/>
        </w:rPr>
        <w:t>produced</w:t>
      </w:r>
      <w:r w:rsidR="008A528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different language(s) other than English, please provide </w:t>
      </w:r>
      <w:r w:rsidRPr="00AE3140">
        <w:rPr>
          <w:sz w:val="24"/>
          <w:szCs w:val="24"/>
        </w:rPr>
        <w:t>description of the service or personnel responsible for the translation, and their qualifications</w:t>
      </w:r>
      <w:r w:rsidR="004B3ED5">
        <w:rPr>
          <w:sz w:val="24"/>
          <w:szCs w:val="24"/>
        </w:rPr>
        <w:t>.</w:t>
      </w:r>
    </w:p>
    <w:p w:rsidR="004B3ED5" w:rsidRDefault="004B3ED5" w:rsidP="004B3ED5">
      <w:pPr>
        <w:pStyle w:val="NoSpacing"/>
        <w:jc w:val="both"/>
        <w:rPr>
          <w:sz w:val="24"/>
          <w:szCs w:val="24"/>
        </w:rPr>
      </w:pPr>
    </w:p>
    <w:p w:rsidR="007D57FE" w:rsidRDefault="007D57FE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A057C">
        <w:rPr>
          <w:sz w:val="24"/>
          <w:szCs w:val="24"/>
        </w:rPr>
        <w:t>f recruitment takes places at a</w:t>
      </w:r>
      <w:r>
        <w:rPr>
          <w:sz w:val="24"/>
          <w:szCs w:val="24"/>
        </w:rPr>
        <w:t xml:space="preserve"> </w:t>
      </w:r>
      <w:r w:rsidR="001A057C">
        <w:rPr>
          <w:sz w:val="24"/>
          <w:szCs w:val="24"/>
        </w:rPr>
        <w:t xml:space="preserve">Non-TCU </w:t>
      </w:r>
      <w:r>
        <w:rPr>
          <w:sz w:val="24"/>
          <w:szCs w:val="24"/>
        </w:rPr>
        <w:t>external site, where collection of, or access to, private, individual identifiable information, or biospecimen, is needed for the research study, then TCU researchers must provide</w:t>
      </w:r>
      <w:r w:rsidR="001A057C">
        <w:rPr>
          <w:sz w:val="24"/>
          <w:szCs w:val="24"/>
        </w:rPr>
        <w:t xml:space="preserve"> a </w:t>
      </w:r>
      <w:r w:rsidR="005967EA">
        <w:rPr>
          <w:sz w:val="24"/>
          <w:szCs w:val="24"/>
        </w:rPr>
        <w:t>letter of support</w:t>
      </w:r>
      <w:r>
        <w:rPr>
          <w:sz w:val="24"/>
          <w:szCs w:val="24"/>
        </w:rPr>
        <w:t xml:space="preserve"> from authorized person/ department at the </w:t>
      </w:r>
      <w:r w:rsidR="001A057C">
        <w:rPr>
          <w:sz w:val="24"/>
          <w:szCs w:val="24"/>
        </w:rPr>
        <w:t xml:space="preserve">Non-TCU </w:t>
      </w:r>
      <w:r>
        <w:rPr>
          <w:sz w:val="24"/>
          <w:szCs w:val="24"/>
        </w:rPr>
        <w:t>external site to conduct research and di</w:t>
      </w:r>
      <w:r w:rsidR="00CC458B">
        <w:rPr>
          <w:sz w:val="24"/>
          <w:szCs w:val="24"/>
        </w:rPr>
        <w:t>stribute recruitment materials.</w:t>
      </w:r>
      <w:r w:rsidR="00F27E26">
        <w:rPr>
          <w:sz w:val="24"/>
          <w:szCs w:val="24"/>
        </w:rPr>
        <w:t xml:space="preserve"> </w:t>
      </w:r>
    </w:p>
    <w:p w:rsidR="007D57FE" w:rsidRDefault="007D57FE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21A2" w:rsidRDefault="004B3ED5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required elements are recommended</w:t>
      </w:r>
      <w:r w:rsidR="001A057C">
        <w:rPr>
          <w:sz w:val="24"/>
          <w:szCs w:val="24"/>
        </w:rPr>
        <w:t xml:space="preserve"> for recruitment materials</w:t>
      </w:r>
      <w:r>
        <w:rPr>
          <w:sz w:val="24"/>
          <w:szCs w:val="24"/>
        </w:rPr>
        <w:t>, especially when putting together your Protocol Request application. Please ensure that the recruitment materials</w:t>
      </w:r>
      <w:r w:rsidR="001A057C">
        <w:rPr>
          <w:sz w:val="24"/>
          <w:szCs w:val="24"/>
        </w:rPr>
        <w:t xml:space="preserve"> (along with scripts, translations, </w:t>
      </w:r>
      <w:r w:rsidR="00F27E26">
        <w:rPr>
          <w:sz w:val="24"/>
          <w:szCs w:val="24"/>
        </w:rPr>
        <w:t xml:space="preserve">or </w:t>
      </w:r>
      <w:r w:rsidR="005967EA">
        <w:rPr>
          <w:sz w:val="24"/>
          <w:szCs w:val="24"/>
        </w:rPr>
        <w:t xml:space="preserve">letters of support </w:t>
      </w:r>
      <w:r w:rsidR="001A057C">
        <w:rPr>
          <w:sz w:val="24"/>
          <w:szCs w:val="24"/>
        </w:rPr>
        <w:t>from Non-TCU external site</w:t>
      </w:r>
      <w:r w:rsidR="00F27E26">
        <w:rPr>
          <w:sz w:val="24"/>
          <w:szCs w:val="24"/>
        </w:rPr>
        <w:t>s</w:t>
      </w:r>
      <w:r w:rsidR="001A057C">
        <w:rPr>
          <w:sz w:val="24"/>
          <w:szCs w:val="24"/>
        </w:rPr>
        <w:t>, if applicable</w:t>
      </w:r>
      <w:r w:rsidR="00CC458B">
        <w:rPr>
          <w:sz w:val="24"/>
          <w:szCs w:val="24"/>
        </w:rPr>
        <w:t>) contain</w:t>
      </w:r>
      <w:r>
        <w:rPr>
          <w:sz w:val="24"/>
          <w:szCs w:val="24"/>
        </w:rPr>
        <w:t xml:space="preserve"> all necessary information that is correct and consistent</w:t>
      </w:r>
      <w:r w:rsidR="005967EA">
        <w:rPr>
          <w:sz w:val="24"/>
          <w:szCs w:val="24"/>
        </w:rPr>
        <w:t xml:space="preserve"> with your protocol</w:t>
      </w:r>
      <w:r>
        <w:rPr>
          <w:sz w:val="24"/>
          <w:szCs w:val="24"/>
        </w:rPr>
        <w:t xml:space="preserve"> before submission to </w:t>
      </w:r>
      <w:hyperlink r:id="rId12" w:history="1">
        <w:r w:rsidRPr="00174ED6">
          <w:rPr>
            <w:rStyle w:val="Hyperlink"/>
            <w:sz w:val="24"/>
            <w:szCs w:val="24"/>
          </w:rPr>
          <w:t>IRBSubmit</w:t>
        </w:r>
      </w:hyperlink>
      <w:r>
        <w:rPr>
          <w:sz w:val="24"/>
          <w:szCs w:val="24"/>
        </w:rPr>
        <w:t xml:space="preserve">. </w:t>
      </w:r>
      <w:r w:rsidR="00F27E26">
        <w:rPr>
          <w:sz w:val="24"/>
          <w:szCs w:val="24"/>
        </w:rPr>
        <w:t xml:space="preserve"> Updated </w:t>
      </w:r>
      <w:r w:rsidR="00AE3140">
        <w:rPr>
          <w:sz w:val="24"/>
          <w:szCs w:val="24"/>
        </w:rPr>
        <w:t>template</w:t>
      </w:r>
      <w:r w:rsidR="00F27E26">
        <w:rPr>
          <w:sz w:val="24"/>
          <w:szCs w:val="24"/>
        </w:rPr>
        <w:t>s</w:t>
      </w:r>
      <w:r w:rsidR="00AE3140">
        <w:rPr>
          <w:sz w:val="24"/>
          <w:szCs w:val="24"/>
        </w:rPr>
        <w:t xml:space="preserve"> for some recruitment mater</w:t>
      </w:r>
      <w:r w:rsidR="00F27E26">
        <w:rPr>
          <w:sz w:val="24"/>
          <w:szCs w:val="24"/>
        </w:rPr>
        <w:t xml:space="preserve">ials (advertisement, email, and </w:t>
      </w:r>
      <w:r w:rsidR="00AE3140">
        <w:rPr>
          <w:sz w:val="24"/>
          <w:szCs w:val="24"/>
        </w:rPr>
        <w:t>filer)</w:t>
      </w:r>
      <w:r w:rsidR="00F27E26">
        <w:rPr>
          <w:sz w:val="24"/>
          <w:szCs w:val="24"/>
        </w:rPr>
        <w:t xml:space="preserve">, along with the Informed Consent documents, </w:t>
      </w:r>
      <w:r w:rsidR="00AE3140">
        <w:rPr>
          <w:sz w:val="24"/>
          <w:szCs w:val="24"/>
        </w:rPr>
        <w:t xml:space="preserve">are available on the </w:t>
      </w:r>
      <w:hyperlink r:id="rId13" w:history="1">
        <w:r w:rsidR="00AE3140" w:rsidRPr="006E752C">
          <w:rPr>
            <w:rStyle w:val="Hyperlink"/>
            <w:sz w:val="24"/>
            <w:szCs w:val="24"/>
          </w:rPr>
          <w:t>TCU IRB webpage</w:t>
        </w:r>
      </w:hyperlink>
      <w:r w:rsidR="00AE3140">
        <w:rPr>
          <w:sz w:val="24"/>
          <w:szCs w:val="24"/>
        </w:rPr>
        <w:t xml:space="preserve"> with instructions on how to complete each one</w:t>
      </w:r>
      <w:r>
        <w:rPr>
          <w:sz w:val="24"/>
          <w:szCs w:val="24"/>
        </w:rPr>
        <w:t>.</w:t>
      </w:r>
      <w:r w:rsidR="00174ED6">
        <w:rPr>
          <w:sz w:val="24"/>
          <w:szCs w:val="24"/>
        </w:rPr>
        <w:t xml:space="preserve"> </w:t>
      </w:r>
      <w:r w:rsidR="00E622BB">
        <w:rPr>
          <w:sz w:val="24"/>
          <w:szCs w:val="24"/>
        </w:rPr>
        <w:t xml:space="preserve"> </w:t>
      </w:r>
      <w:r w:rsidR="008A2B60">
        <w:rPr>
          <w:sz w:val="24"/>
          <w:szCs w:val="24"/>
        </w:rPr>
        <w:t xml:space="preserve"> </w:t>
      </w:r>
    </w:p>
    <w:p w:rsidR="00844275" w:rsidRDefault="00844275" w:rsidP="00E362A4">
      <w:pPr>
        <w:pStyle w:val="NoSpacing"/>
        <w:rPr>
          <w:sz w:val="24"/>
          <w:szCs w:val="24"/>
        </w:rPr>
      </w:pPr>
    </w:p>
    <w:p w:rsidR="00284561" w:rsidRDefault="00284561" w:rsidP="004E727F">
      <w:pPr>
        <w:pStyle w:val="NoSpacing"/>
        <w:rPr>
          <w:b/>
          <w:sz w:val="24"/>
          <w:szCs w:val="24"/>
        </w:rPr>
      </w:pPr>
      <w:bookmarkStart w:id="1" w:name="_GoBack"/>
      <w:bookmarkEnd w:id="1"/>
    </w:p>
    <w:sectPr w:rsidR="00284561" w:rsidSect="0016392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D9" w:rsidRDefault="00CC7BD9" w:rsidP="00D72DE6">
      <w:r>
        <w:separator/>
      </w:r>
    </w:p>
  </w:endnote>
  <w:endnote w:type="continuationSeparator" w:id="0">
    <w:p w:rsidR="00CC7BD9" w:rsidRDefault="00CC7BD9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CF" w:rsidRDefault="005967EA">
    <w:pPr>
      <w:pStyle w:val="Footer"/>
    </w:pPr>
    <w:r>
      <w:t xml:space="preserve">TCU </w:t>
    </w:r>
    <w:r w:rsidR="00494DCC">
      <w:t>2</w:t>
    </w:r>
    <w:r>
      <w:t>.202</w:t>
    </w:r>
    <w:r w:rsidR="00494DC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D9" w:rsidRDefault="00CC7BD9" w:rsidP="00D72DE6">
      <w:r>
        <w:separator/>
      </w:r>
    </w:p>
  </w:footnote>
  <w:footnote w:type="continuationSeparator" w:id="0">
    <w:p w:rsidR="00CC7BD9" w:rsidRDefault="00CC7BD9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qgUAG+S+hSwAAAA=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31D7A"/>
    <w:rsid w:val="00132E73"/>
    <w:rsid w:val="001422F4"/>
    <w:rsid w:val="00142E64"/>
    <w:rsid w:val="00147297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13767"/>
    <w:rsid w:val="00215561"/>
    <w:rsid w:val="00221556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B6733"/>
    <w:rsid w:val="002B6A18"/>
    <w:rsid w:val="002C438C"/>
    <w:rsid w:val="002C6456"/>
    <w:rsid w:val="002C690D"/>
    <w:rsid w:val="002D5366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54CB4"/>
    <w:rsid w:val="00357503"/>
    <w:rsid w:val="003645EB"/>
    <w:rsid w:val="00367C31"/>
    <w:rsid w:val="003702E5"/>
    <w:rsid w:val="003709CF"/>
    <w:rsid w:val="003810A6"/>
    <w:rsid w:val="003840D6"/>
    <w:rsid w:val="0039364C"/>
    <w:rsid w:val="003B387F"/>
    <w:rsid w:val="003C0E36"/>
    <w:rsid w:val="003C12BE"/>
    <w:rsid w:val="003C22C5"/>
    <w:rsid w:val="003D1121"/>
    <w:rsid w:val="003D19A2"/>
    <w:rsid w:val="003D47AD"/>
    <w:rsid w:val="00404C3A"/>
    <w:rsid w:val="00414704"/>
    <w:rsid w:val="00424C60"/>
    <w:rsid w:val="00431A29"/>
    <w:rsid w:val="00465E72"/>
    <w:rsid w:val="00467800"/>
    <w:rsid w:val="00473C9A"/>
    <w:rsid w:val="004759C7"/>
    <w:rsid w:val="00484218"/>
    <w:rsid w:val="00494DCC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1597B"/>
    <w:rsid w:val="00523AEC"/>
    <w:rsid w:val="0053206B"/>
    <w:rsid w:val="00542365"/>
    <w:rsid w:val="00546F9D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D41A6"/>
    <w:rsid w:val="005E60A5"/>
    <w:rsid w:val="005E7C6D"/>
    <w:rsid w:val="005E7C9D"/>
    <w:rsid w:val="005F07CF"/>
    <w:rsid w:val="0060683E"/>
    <w:rsid w:val="006207E2"/>
    <w:rsid w:val="0063319D"/>
    <w:rsid w:val="00643B3A"/>
    <w:rsid w:val="0065667E"/>
    <w:rsid w:val="00661BBF"/>
    <w:rsid w:val="00680727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734A"/>
    <w:rsid w:val="007E7BEC"/>
    <w:rsid w:val="007F4D0D"/>
    <w:rsid w:val="007F7AF9"/>
    <w:rsid w:val="00817D80"/>
    <w:rsid w:val="00825D5B"/>
    <w:rsid w:val="00835F23"/>
    <w:rsid w:val="00840BF8"/>
    <w:rsid w:val="00844275"/>
    <w:rsid w:val="0085431F"/>
    <w:rsid w:val="00856A26"/>
    <w:rsid w:val="0086612F"/>
    <w:rsid w:val="0087779C"/>
    <w:rsid w:val="008946F4"/>
    <w:rsid w:val="008A2B60"/>
    <w:rsid w:val="008A3125"/>
    <w:rsid w:val="008A5283"/>
    <w:rsid w:val="008B0FEB"/>
    <w:rsid w:val="008B3A74"/>
    <w:rsid w:val="008C3F43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76C08"/>
    <w:rsid w:val="0098016A"/>
    <w:rsid w:val="009944D3"/>
    <w:rsid w:val="009B05F1"/>
    <w:rsid w:val="009E1CB6"/>
    <w:rsid w:val="009E2390"/>
    <w:rsid w:val="009E55DC"/>
    <w:rsid w:val="009F0DD3"/>
    <w:rsid w:val="009F7F6C"/>
    <w:rsid w:val="00A021A2"/>
    <w:rsid w:val="00A03800"/>
    <w:rsid w:val="00A1050D"/>
    <w:rsid w:val="00A112AC"/>
    <w:rsid w:val="00A33FA7"/>
    <w:rsid w:val="00A42202"/>
    <w:rsid w:val="00A44DD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6504"/>
    <w:rsid w:val="00B3079F"/>
    <w:rsid w:val="00B333DC"/>
    <w:rsid w:val="00B35823"/>
    <w:rsid w:val="00B36768"/>
    <w:rsid w:val="00B4171B"/>
    <w:rsid w:val="00B4179C"/>
    <w:rsid w:val="00B518C1"/>
    <w:rsid w:val="00B54AAB"/>
    <w:rsid w:val="00B64014"/>
    <w:rsid w:val="00B722BD"/>
    <w:rsid w:val="00B8254D"/>
    <w:rsid w:val="00B82EA8"/>
    <w:rsid w:val="00BA0755"/>
    <w:rsid w:val="00BB4AAB"/>
    <w:rsid w:val="00BC0EA4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4475"/>
    <w:rsid w:val="00C77FE7"/>
    <w:rsid w:val="00C85F91"/>
    <w:rsid w:val="00C87252"/>
    <w:rsid w:val="00C918D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2367C"/>
    <w:rsid w:val="00D26776"/>
    <w:rsid w:val="00D44909"/>
    <w:rsid w:val="00D72DE6"/>
    <w:rsid w:val="00D73A1D"/>
    <w:rsid w:val="00D90591"/>
    <w:rsid w:val="00D9467A"/>
    <w:rsid w:val="00D94C91"/>
    <w:rsid w:val="00D957AD"/>
    <w:rsid w:val="00DB663D"/>
    <w:rsid w:val="00DD4062"/>
    <w:rsid w:val="00DD75F0"/>
    <w:rsid w:val="00DE2C50"/>
    <w:rsid w:val="00DE477D"/>
    <w:rsid w:val="00DE63C1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8424C"/>
    <w:rsid w:val="00E844AF"/>
    <w:rsid w:val="00E874E3"/>
    <w:rsid w:val="00E94CF8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425C"/>
    <w:rsid w:val="00F56F7A"/>
    <w:rsid w:val="00F634F5"/>
    <w:rsid w:val="00F76F55"/>
    <w:rsid w:val="00F83081"/>
    <w:rsid w:val="00F85F66"/>
    <w:rsid w:val="00FB02FD"/>
    <w:rsid w:val="00FB5A51"/>
    <w:rsid w:val="00FC09B5"/>
    <w:rsid w:val="00FD0F55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BDED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earch.tcu.edu/research-compliance/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Submit@tc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A8B-E3AE-4BF2-A11A-AF7FF6C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2601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3059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2008-12-17T20:28:00Z</cp:lastPrinted>
  <dcterms:created xsi:type="dcterms:W3CDTF">2024-02-13T18:05:00Z</dcterms:created>
  <dcterms:modified xsi:type="dcterms:W3CDTF">2024-02-13T18:05:00Z</dcterms:modified>
</cp:coreProperties>
</file>