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3E9" w14:textId="6211AFF4" w:rsidR="003709CF" w:rsidRDefault="00A42202" w:rsidP="00D32957">
      <w:pPr>
        <w:pStyle w:val="NoSpacing"/>
        <w:jc w:val="center"/>
        <w:rPr>
          <w:b/>
          <w:sz w:val="32"/>
          <w:szCs w:val="32"/>
        </w:rPr>
      </w:pPr>
      <w:r>
        <w:rPr>
          <w:b/>
          <w:noProof/>
          <w:sz w:val="32"/>
          <w:szCs w:val="32"/>
          <w:lang w:val="en-GB" w:eastAsia="en-GB"/>
        </w:rPr>
        <w:drawing>
          <wp:anchor distT="0" distB="0" distL="114300" distR="114300" simplePos="0" relativeHeight="251658240" behindDoc="1" locked="0" layoutInCell="1" allowOverlap="1" wp14:anchorId="58CA0682" wp14:editId="5968A169">
            <wp:simplePos x="0" y="0"/>
            <wp:positionH relativeFrom="column">
              <wp:posOffset>2295525</wp:posOffset>
            </wp:positionH>
            <wp:positionV relativeFrom="paragraph">
              <wp:posOffset>-742950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B82">
        <w:rPr>
          <w:b/>
          <w:sz w:val="32"/>
          <w:szCs w:val="32"/>
        </w:rPr>
        <w:t>Not Human Subjects Research Guidance</w:t>
      </w:r>
      <w:r w:rsidR="00D32957">
        <w:rPr>
          <w:b/>
          <w:sz w:val="32"/>
          <w:szCs w:val="32"/>
        </w:rPr>
        <w:t xml:space="preserve">  </w:t>
      </w:r>
      <w:r w:rsidR="00844275">
        <w:rPr>
          <w:b/>
          <w:sz w:val="32"/>
          <w:szCs w:val="32"/>
        </w:rPr>
        <w:t xml:space="preserve"> </w:t>
      </w:r>
    </w:p>
    <w:p w14:paraId="174E39BC" w14:textId="77777777" w:rsidR="00E622BB" w:rsidRDefault="00CC2F95" w:rsidP="00A77444">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lang w:val="en-GB" w:eastAsia="en-GB"/>
        </w:rPr>
        <mc:AlternateContent>
          <mc:Choice Requires="wps">
            <w:drawing>
              <wp:anchor distT="0" distB="0" distL="114300" distR="114300" simplePos="0" relativeHeight="251657216" behindDoc="0" locked="0" layoutInCell="1" allowOverlap="1" wp14:anchorId="1E052079" wp14:editId="45BB87F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4BEDA"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5CCA9534" w14:textId="77777777" w:rsidR="00B40B82" w:rsidRPr="002E60A8" w:rsidRDefault="00B40B82" w:rsidP="00B40B82">
      <w:pPr>
        <w:jc w:val="both"/>
        <w:rPr>
          <w:rFonts w:ascii="Times New Roman" w:hAnsi="Times New Roman"/>
          <w:b/>
          <w:lang w:val="en-GB"/>
        </w:rPr>
      </w:pPr>
      <w:r w:rsidRPr="002E60A8">
        <w:rPr>
          <w:rFonts w:ascii="Times New Roman" w:hAnsi="Times New Roman"/>
          <w:b/>
          <w:lang w:val="en-GB"/>
        </w:rPr>
        <w:t>Introduction</w:t>
      </w:r>
    </w:p>
    <w:p w14:paraId="62CADC82"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The Office of Research Compliance (</w:t>
      </w:r>
      <w:r w:rsidRPr="002E60A8">
        <w:rPr>
          <w:rFonts w:ascii="Times New Roman" w:hAnsi="Times New Roman"/>
          <w:b/>
          <w:lang w:val="en-GB"/>
        </w:rPr>
        <w:t>ORC</w:t>
      </w:r>
      <w:r w:rsidRPr="002E60A8">
        <w:rPr>
          <w:rFonts w:ascii="Times New Roman" w:hAnsi="Times New Roman"/>
          <w:lang w:val="en-GB"/>
        </w:rPr>
        <w:t>) provides guidance documents to help Texas Christian University investigators better understand the expectations and requirements set forth by federal regulations, concerning research that involve Human Subjects. The TCU Institutional Review Board (</w:t>
      </w:r>
      <w:r w:rsidRPr="002E60A8">
        <w:rPr>
          <w:rFonts w:ascii="Times New Roman" w:hAnsi="Times New Roman"/>
          <w:b/>
          <w:lang w:val="en-GB"/>
        </w:rPr>
        <w:t>IRB</w:t>
      </w:r>
      <w:r w:rsidRPr="002E60A8">
        <w:rPr>
          <w:rFonts w:ascii="Times New Roman" w:hAnsi="Times New Roman"/>
          <w:lang w:val="en-GB"/>
        </w:rPr>
        <w:t xml:space="preserve">) is responsible for protecting the rights and welfare of human subjects in research. Texas Christian University requires all projects/studies involving human subjects to be submitted, reviewed and approved by the TCU IRB. Therefore, it is crucial for the investigators (faculty, staff and students – both undergraduate and graduate) to consider if their project/study meets the standards of the federal regulation by definition. </w:t>
      </w:r>
    </w:p>
    <w:p w14:paraId="1B7A414B" w14:textId="77777777" w:rsidR="00B40B82" w:rsidRPr="002E60A8" w:rsidRDefault="00B40B82" w:rsidP="00B40B82">
      <w:pPr>
        <w:jc w:val="both"/>
        <w:rPr>
          <w:rFonts w:ascii="Times New Roman" w:hAnsi="Times New Roman"/>
          <w:b/>
          <w:lang w:val="en-GB"/>
        </w:rPr>
      </w:pPr>
      <w:r w:rsidRPr="002E60A8">
        <w:rPr>
          <w:rFonts w:ascii="Times New Roman" w:hAnsi="Times New Roman"/>
          <w:b/>
          <w:lang w:val="en-GB"/>
        </w:rPr>
        <w:t>What is a Human Subjects Research?</w:t>
      </w:r>
    </w:p>
    <w:p w14:paraId="3C279A76"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The federal regulations as stated in 45 CFR 46.102, define the following as such:</w:t>
      </w:r>
    </w:p>
    <w:p w14:paraId="565D6DE4" w14:textId="77777777" w:rsidR="00B40B82" w:rsidRPr="002E60A8" w:rsidRDefault="00B40B82" w:rsidP="00B40B82">
      <w:pPr>
        <w:ind w:left="360"/>
        <w:jc w:val="both"/>
        <w:rPr>
          <w:rFonts w:ascii="Times New Roman" w:hAnsi="Times New Roman"/>
          <w:lang w:val="en-GB"/>
        </w:rPr>
      </w:pPr>
      <w:r w:rsidRPr="002E60A8">
        <w:rPr>
          <w:rFonts w:ascii="Times New Roman" w:hAnsi="Times New Roman"/>
          <w:b/>
          <w:lang w:val="en-GB"/>
        </w:rPr>
        <w:t>Research</w:t>
      </w:r>
      <w:r w:rsidRPr="002E60A8">
        <w:rPr>
          <w:rFonts w:ascii="Times New Roman" w:hAnsi="Times New Roman"/>
          <w:lang w:val="en-GB"/>
        </w:rPr>
        <w:t xml:space="preserve"> is “a </w:t>
      </w:r>
      <w:r w:rsidRPr="002E60A8">
        <w:rPr>
          <w:rFonts w:ascii="Times New Roman" w:hAnsi="Times New Roman"/>
          <w:u w:val="single"/>
          <w:lang w:val="en-GB"/>
        </w:rPr>
        <w:t>systematic investigation</w:t>
      </w:r>
      <w:r w:rsidRPr="002E60A8">
        <w:rPr>
          <w:rFonts w:ascii="Times New Roman" w:hAnsi="Times New Roman"/>
          <w:lang w:val="en-GB"/>
        </w:rPr>
        <w:t xml:space="preserve">, including development, testing, and evaluation, designed to develop or </w:t>
      </w:r>
      <w:r w:rsidRPr="002E60A8">
        <w:rPr>
          <w:rFonts w:ascii="Times New Roman" w:hAnsi="Times New Roman"/>
          <w:u w:val="single"/>
          <w:lang w:val="en-GB"/>
        </w:rPr>
        <w:t>contribute to generalizable knowledge</w:t>
      </w:r>
      <w:r w:rsidRPr="002E60A8">
        <w:rPr>
          <w:rFonts w:ascii="Times New Roman" w:hAnsi="Times New Roman"/>
          <w:lang w:val="en-GB"/>
        </w:rPr>
        <w:t>”</w:t>
      </w:r>
    </w:p>
    <w:p w14:paraId="594DB98A" w14:textId="77777777" w:rsidR="00B40B82" w:rsidRPr="002E60A8" w:rsidRDefault="00B40B82" w:rsidP="00B40B82">
      <w:pPr>
        <w:pStyle w:val="ListParagraph"/>
        <w:numPr>
          <w:ilvl w:val="0"/>
          <w:numId w:val="22"/>
        </w:numPr>
        <w:spacing w:after="160" w:line="259" w:lineRule="auto"/>
        <w:jc w:val="both"/>
        <w:rPr>
          <w:rFonts w:ascii="Times New Roman" w:hAnsi="Times New Roman"/>
          <w:lang w:val="en-GB"/>
        </w:rPr>
      </w:pPr>
      <w:r w:rsidRPr="002E60A8">
        <w:rPr>
          <w:rFonts w:ascii="Times New Roman" w:hAnsi="Times New Roman"/>
          <w:b/>
          <w:lang w:val="en-GB"/>
        </w:rPr>
        <w:t>Systematic investigation</w:t>
      </w:r>
      <w:r w:rsidRPr="002E60A8">
        <w:rPr>
          <w:rFonts w:ascii="Times New Roman" w:hAnsi="Times New Roman"/>
          <w:lang w:val="en-GB"/>
        </w:rPr>
        <w:t xml:space="preserve"> whereby any activities include the methodical plan of collecting and analysing data for the purpose of answering a question(s) or hypothesis(</w:t>
      </w:r>
      <w:proofErr w:type="spellStart"/>
      <w:r w:rsidRPr="002E60A8">
        <w:rPr>
          <w:rFonts w:ascii="Times New Roman" w:hAnsi="Times New Roman"/>
          <w:lang w:val="en-GB"/>
        </w:rPr>
        <w:t>ses</w:t>
      </w:r>
      <w:proofErr w:type="spellEnd"/>
      <w:r w:rsidRPr="002E60A8">
        <w:rPr>
          <w:rFonts w:ascii="Times New Roman" w:hAnsi="Times New Roman"/>
          <w:lang w:val="en-GB"/>
        </w:rPr>
        <w:t xml:space="preserve">) </w:t>
      </w:r>
    </w:p>
    <w:p w14:paraId="15D3CAB0" w14:textId="77777777" w:rsidR="00B40B82" w:rsidRPr="002E60A8" w:rsidRDefault="00B40B82" w:rsidP="00B40B82">
      <w:pPr>
        <w:pStyle w:val="ListParagraph"/>
        <w:numPr>
          <w:ilvl w:val="0"/>
          <w:numId w:val="22"/>
        </w:numPr>
        <w:spacing w:after="160" w:line="259" w:lineRule="auto"/>
        <w:jc w:val="both"/>
        <w:rPr>
          <w:rFonts w:ascii="Times New Roman" w:hAnsi="Times New Roman"/>
          <w:lang w:val="en-GB"/>
        </w:rPr>
      </w:pPr>
      <w:r w:rsidRPr="002E60A8">
        <w:rPr>
          <w:rFonts w:ascii="Times New Roman" w:hAnsi="Times New Roman"/>
          <w:b/>
          <w:lang w:val="en-GB"/>
        </w:rPr>
        <w:t xml:space="preserve">Generalizable knowledge </w:t>
      </w:r>
      <w:r w:rsidRPr="002E60A8">
        <w:rPr>
          <w:rFonts w:ascii="Times New Roman" w:hAnsi="Times New Roman"/>
          <w:lang w:val="en-GB"/>
        </w:rPr>
        <w:t xml:space="preserve">whereby the outcomes of the research project/ study are meant for expanding the knowledge base of a scientific discipline or other scholarly field of study. Another way of interpretation, is sharing and applying the findings to populations or situations beyond those studied; which can then draw up conclusions, design programs, or inform policies. </w:t>
      </w:r>
    </w:p>
    <w:p w14:paraId="79137676" w14:textId="77777777" w:rsidR="00B40B82" w:rsidRPr="002E60A8" w:rsidRDefault="00B40B82" w:rsidP="00B40B82">
      <w:pPr>
        <w:pStyle w:val="ListParagraph"/>
        <w:jc w:val="both"/>
        <w:rPr>
          <w:rFonts w:ascii="Times New Roman" w:hAnsi="Times New Roman"/>
          <w:i/>
          <w:lang w:val="en-GB"/>
        </w:rPr>
      </w:pPr>
      <w:r w:rsidRPr="002E60A8">
        <w:rPr>
          <w:rFonts w:ascii="Times New Roman" w:hAnsi="Times New Roman"/>
          <w:i/>
          <w:lang w:val="en-GB"/>
        </w:rPr>
        <w:t xml:space="preserve">Note: the intent to develop or contribute to generalizable knowledge will deem an activity as research – it does not need to be published or presented to meet this definition.  </w:t>
      </w:r>
    </w:p>
    <w:p w14:paraId="7AB4735E" w14:textId="77777777" w:rsidR="00B40B82" w:rsidRPr="002E60A8" w:rsidRDefault="00B40B82" w:rsidP="00B40B82">
      <w:pPr>
        <w:ind w:left="360"/>
        <w:jc w:val="both"/>
        <w:rPr>
          <w:rFonts w:ascii="Times New Roman" w:hAnsi="Times New Roman"/>
          <w:lang w:val="en-GB"/>
        </w:rPr>
      </w:pPr>
      <w:r w:rsidRPr="002E60A8">
        <w:rPr>
          <w:rFonts w:ascii="Times New Roman" w:hAnsi="Times New Roman"/>
          <w:b/>
          <w:lang w:val="en-GB"/>
        </w:rPr>
        <w:t xml:space="preserve">Human Subjects </w:t>
      </w:r>
      <w:r w:rsidRPr="002E60A8">
        <w:rPr>
          <w:rFonts w:ascii="Times New Roman" w:hAnsi="Times New Roman"/>
          <w:lang w:val="en-GB"/>
        </w:rPr>
        <w:t xml:space="preserve">is “a living individual </w:t>
      </w:r>
      <w:r w:rsidRPr="002E60A8">
        <w:rPr>
          <w:rFonts w:ascii="Times New Roman" w:hAnsi="Times New Roman"/>
          <w:u w:val="single"/>
          <w:lang w:val="en-GB"/>
        </w:rPr>
        <w:t>about whom</w:t>
      </w:r>
      <w:r w:rsidRPr="002E60A8">
        <w:rPr>
          <w:rFonts w:ascii="Times New Roman" w:hAnsi="Times New Roman"/>
          <w:lang w:val="en-GB"/>
        </w:rPr>
        <w:t xml:space="preserve"> an investigator conducting research; </w:t>
      </w:r>
      <w:proofErr w:type="spellStart"/>
      <w:r w:rsidRPr="002E60A8">
        <w:rPr>
          <w:rFonts w:ascii="Times New Roman" w:hAnsi="Times New Roman"/>
          <w:lang w:val="en-GB"/>
        </w:rPr>
        <w:t>i</w:t>
      </w:r>
      <w:proofErr w:type="spellEnd"/>
      <w:r w:rsidRPr="002E60A8">
        <w:rPr>
          <w:rFonts w:ascii="Times New Roman" w:hAnsi="Times New Roman"/>
          <w:lang w:val="en-GB"/>
        </w:rPr>
        <w:t xml:space="preserve">) obtains information or biospecimens through </w:t>
      </w:r>
      <w:r w:rsidRPr="002E60A8">
        <w:rPr>
          <w:rFonts w:ascii="Times New Roman" w:hAnsi="Times New Roman"/>
          <w:u w:val="single"/>
          <w:lang w:val="en-GB"/>
        </w:rPr>
        <w:t>intervention or interaction</w:t>
      </w:r>
      <w:r w:rsidRPr="002E60A8">
        <w:rPr>
          <w:rFonts w:ascii="Times New Roman" w:hAnsi="Times New Roman"/>
          <w:lang w:val="en-GB"/>
        </w:rPr>
        <w:t xml:space="preserve"> with the individuals, and uses, studies, or analyses the information or biospecimens, or; ii) obtains, uses, studies, analyses, or generates </w:t>
      </w:r>
      <w:r w:rsidRPr="002E60A8">
        <w:rPr>
          <w:rFonts w:ascii="Times New Roman" w:hAnsi="Times New Roman"/>
          <w:u w:val="single"/>
          <w:lang w:val="en-GB"/>
        </w:rPr>
        <w:t>identifiable private information</w:t>
      </w:r>
      <w:r w:rsidRPr="002E60A8">
        <w:rPr>
          <w:rFonts w:ascii="Times New Roman" w:hAnsi="Times New Roman"/>
          <w:lang w:val="en-GB"/>
        </w:rPr>
        <w:t xml:space="preserve"> or </w:t>
      </w:r>
      <w:r w:rsidRPr="002E60A8">
        <w:rPr>
          <w:rFonts w:ascii="Times New Roman" w:hAnsi="Times New Roman"/>
          <w:u w:val="single"/>
          <w:lang w:val="en-GB"/>
        </w:rPr>
        <w:t>identifiable biospecimens</w:t>
      </w:r>
      <w:r w:rsidRPr="002E60A8">
        <w:rPr>
          <w:rFonts w:ascii="Times New Roman" w:hAnsi="Times New Roman"/>
          <w:lang w:val="en-GB"/>
        </w:rPr>
        <w:t>.”</w:t>
      </w:r>
    </w:p>
    <w:p w14:paraId="77BAC991" w14:textId="77777777" w:rsidR="00B40B82" w:rsidRPr="002E60A8" w:rsidRDefault="00B40B82" w:rsidP="00B40B82">
      <w:pPr>
        <w:pStyle w:val="ListParagraph"/>
        <w:numPr>
          <w:ilvl w:val="0"/>
          <w:numId w:val="23"/>
        </w:numPr>
        <w:spacing w:after="160" w:line="259" w:lineRule="auto"/>
        <w:jc w:val="both"/>
        <w:rPr>
          <w:rFonts w:ascii="Times New Roman" w:hAnsi="Times New Roman"/>
          <w:lang w:val="en-GB"/>
        </w:rPr>
      </w:pPr>
      <w:r w:rsidRPr="002E60A8">
        <w:rPr>
          <w:rFonts w:ascii="Times New Roman" w:hAnsi="Times New Roman"/>
          <w:b/>
          <w:lang w:val="en-GB"/>
        </w:rPr>
        <w:t xml:space="preserve">About whom </w:t>
      </w:r>
      <w:r w:rsidRPr="002E60A8">
        <w:rPr>
          <w:rFonts w:ascii="Times New Roman" w:hAnsi="Times New Roman"/>
          <w:lang w:val="en-GB"/>
        </w:rPr>
        <w:t xml:space="preserve">is understood as the collection of information or biospecimens to be </w:t>
      </w:r>
      <w:r w:rsidRPr="002E60A8">
        <w:rPr>
          <w:rFonts w:ascii="Times New Roman" w:hAnsi="Times New Roman"/>
          <w:u w:val="single"/>
          <w:lang w:val="en-GB"/>
        </w:rPr>
        <w:t xml:space="preserve">about </w:t>
      </w:r>
      <w:r w:rsidRPr="002E60A8">
        <w:rPr>
          <w:rFonts w:ascii="Times New Roman" w:hAnsi="Times New Roman"/>
          <w:lang w:val="en-GB"/>
        </w:rPr>
        <w:t xml:space="preserve">the living individual. </w:t>
      </w:r>
    </w:p>
    <w:p w14:paraId="53D3B995" w14:textId="77777777" w:rsidR="00B40B82" w:rsidRPr="002E60A8" w:rsidRDefault="00B40B82" w:rsidP="00B40B82">
      <w:pPr>
        <w:pStyle w:val="ListParagraph"/>
        <w:numPr>
          <w:ilvl w:val="0"/>
          <w:numId w:val="23"/>
        </w:numPr>
        <w:spacing w:after="160" w:line="259" w:lineRule="auto"/>
        <w:jc w:val="both"/>
        <w:rPr>
          <w:rFonts w:ascii="Times New Roman" w:hAnsi="Times New Roman"/>
          <w:lang w:val="en-GB"/>
        </w:rPr>
      </w:pPr>
      <w:r w:rsidRPr="002E60A8">
        <w:rPr>
          <w:rFonts w:ascii="Times New Roman" w:hAnsi="Times New Roman"/>
          <w:b/>
          <w:lang w:val="en-GB"/>
        </w:rPr>
        <w:t xml:space="preserve">Intervention </w:t>
      </w:r>
      <w:r w:rsidRPr="002E60A8">
        <w:rPr>
          <w:rFonts w:ascii="Times New Roman" w:hAnsi="Times New Roman"/>
          <w:lang w:val="en-GB"/>
        </w:rPr>
        <w:t xml:space="preserve">is the inclusion of physical procedures, manipulations of the subject or of the subjects’ environment, for the purposes of the research. </w:t>
      </w:r>
    </w:p>
    <w:p w14:paraId="7C837758" w14:textId="77777777" w:rsidR="00B40B82" w:rsidRPr="002E60A8" w:rsidRDefault="00B40B82" w:rsidP="00B40B82">
      <w:pPr>
        <w:pStyle w:val="ListParagraph"/>
        <w:numPr>
          <w:ilvl w:val="0"/>
          <w:numId w:val="23"/>
        </w:numPr>
        <w:spacing w:after="160" w:line="259" w:lineRule="auto"/>
        <w:jc w:val="both"/>
        <w:rPr>
          <w:rFonts w:ascii="Times New Roman" w:hAnsi="Times New Roman"/>
          <w:lang w:val="en-GB"/>
        </w:rPr>
      </w:pPr>
      <w:r w:rsidRPr="002E60A8">
        <w:rPr>
          <w:rFonts w:ascii="Times New Roman" w:hAnsi="Times New Roman"/>
          <w:b/>
          <w:lang w:val="en-GB"/>
        </w:rPr>
        <w:t xml:space="preserve">Interaction </w:t>
      </w:r>
      <w:r w:rsidRPr="002E60A8">
        <w:rPr>
          <w:rFonts w:ascii="Times New Roman" w:hAnsi="Times New Roman"/>
          <w:lang w:val="en-GB"/>
        </w:rPr>
        <w:t xml:space="preserve">is the methods of communication or how interpersonal contact is established between investigator and the subject. </w:t>
      </w:r>
    </w:p>
    <w:p w14:paraId="5A867296" w14:textId="77777777" w:rsidR="00B40B82" w:rsidRPr="002E60A8" w:rsidRDefault="00B40B82" w:rsidP="00B40B82">
      <w:pPr>
        <w:pStyle w:val="ListParagraph"/>
        <w:numPr>
          <w:ilvl w:val="0"/>
          <w:numId w:val="23"/>
        </w:numPr>
        <w:spacing w:after="160" w:line="259" w:lineRule="auto"/>
        <w:jc w:val="both"/>
        <w:rPr>
          <w:rFonts w:ascii="Times New Roman" w:hAnsi="Times New Roman"/>
          <w:lang w:val="en-GB"/>
        </w:rPr>
      </w:pPr>
      <w:r w:rsidRPr="002E60A8">
        <w:rPr>
          <w:rFonts w:ascii="Times New Roman" w:hAnsi="Times New Roman"/>
          <w:b/>
          <w:lang w:val="en-GB"/>
        </w:rPr>
        <w:t xml:space="preserve">Private information </w:t>
      </w:r>
      <w:r w:rsidRPr="002E60A8">
        <w:rPr>
          <w:rFonts w:ascii="Times New Roman" w:hAnsi="Times New Roman"/>
          <w:lang w:val="en-GB"/>
        </w:rPr>
        <w:t xml:space="preserve">is where information about an individual is obtained in a manner where no external observation or recording is taking place, or whereby the information provided can be reasonably expected not to be made public. Where it becomes </w:t>
      </w:r>
      <w:r w:rsidRPr="002E60A8">
        <w:rPr>
          <w:rFonts w:ascii="Times New Roman" w:hAnsi="Times New Roman"/>
          <w:b/>
          <w:lang w:val="en-GB"/>
        </w:rPr>
        <w:t xml:space="preserve">identifiable private information </w:t>
      </w:r>
      <w:r w:rsidRPr="002E60A8">
        <w:rPr>
          <w:rFonts w:ascii="Times New Roman" w:hAnsi="Times New Roman"/>
          <w:lang w:val="en-GB"/>
        </w:rPr>
        <w:t xml:space="preserve">is when the identity of the subject is or may readily be ascertained by the investigator or associated with the information. The same goes for </w:t>
      </w:r>
      <w:r w:rsidRPr="002E60A8">
        <w:rPr>
          <w:rFonts w:ascii="Times New Roman" w:hAnsi="Times New Roman"/>
          <w:b/>
          <w:lang w:val="en-GB"/>
        </w:rPr>
        <w:t xml:space="preserve">identifiable biospecimen </w:t>
      </w:r>
      <w:r w:rsidRPr="002E60A8">
        <w:rPr>
          <w:rFonts w:ascii="Times New Roman" w:hAnsi="Times New Roman"/>
          <w:lang w:val="en-GB"/>
        </w:rPr>
        <w:t xml:space="preserve">whereby the identity of the biospecimen is or may readily be ascertained by the investigator or associated with the biospecimen. </w:t>
      </w:r>
    </w:p>
    <w:p w14:paraId="72E6DC00" w14:textId="77777777" w:rsidR="00B40B82" w:rsidRPr="002E60A8" w:rsidRDefault="00B40B82" w:rsidP="00B40B82">
      <w:pPr>
        <w:jc w:val="both"/>
        <w:rPr>
          <w:rFonts w:ascii="Times New Roman" w:hAnsi="Times New Roman"/>
          <w:lang w:val="en-GB"/>
        </w:rPr>
      </w:pPr>
      <w:r w:rsidRPr="002E60A8">
        <w:rPr>
          <w:rFonts w:ascii="Times New Roman" w:hAnsi="Times New Roman"/>
          <w:b/>
          <w:lang w:val="en-GB"/>
        </w:rPr>
        <w:t xml:space="preserve">Therefore, if a project/study satisfies both regulatory definitions as stated above, then it is deemed as Human Subjects Research. </w:t>
      </w:r>
      <w:r w:rsidRPr="002E60A8">
        <w:rPr>
          <w:rFonts w:ascii="Times New Roman" w:hAnsi="Times New Roman"/>
          <w:lang w:val="en-GB"/>
        </w:rPr>
        <w:t xml:space="preserve">Should an investigator be unsure if their project is a human subjects research or not, contact the ORC to clarify. Federal guidelines do not recommend investigators to make this determination themselves. Instead, the TCU IRB makes determinations based on regulatory and institutional polices, as currently set.  </w:t>
      </w:r>
    </w:p>
    <w:p w14:paraId="1D92E157" w14:textId="77777777" w:rsidR="00B40B82" w:rsidRPr="002E60A8" w:rsidRDefault="00B40B82" w:rsidP="00B40B82">
      <w:pPr>
        <w:jc w:val="both"/>
        <w:rPr>
          <w:rFonts w:ascii="Times New Roman" w:hAnsi="Times New Roman"/>
          <w:b/>
          <w:lang w:val="en-GB"/>
        </w:rPr>
      </w:pPr>
    </w:p>
    <w:p w14:paraId="26DB8B77" w14:textId="77777777" w:rsidR="00B40B82" w:rsidRDefault="00B40B82" w:rsidP="00B40B82">
      <w:pPr>
        <w:jc w:val="both"/>
        <w:rPr>
          <w:rFonts w:ascii="Times New Roman" w:hAnsi="Times New Roman"/>
          <w:b/>
          <w:lang w:val="en-GB"/>
        </w:rPr>
      </w:pPr>
    </w:p>
    <w:p w14:paraId="4F822B4C" w14:textId="77777777" w:rsidR="00B40B82" w:rsidRDefault="00B40B82" w:rsidP="00B40B82">
      <w:pPr>
        <w:jc w:val="both"/>
        <w:rPr>
          <w:rFonts w:ascii="Times New Roman" w:hAnsi="Times New Roman"/>
          <w:b/>
          <w:lang w:val="en-GB"/>
        </w:rPr>
      </w:pPr>
    </w:p>
    <w:p w14:paraId="4FC3DEFF" w14:textId="77777777" w:rsidR="00B40B82" w:rsidRPr="002E60A8" w:rsidRDefault="00B40B82" w:rsidP="00B40B82">
      <w:pPr>
        <w:jc w:val="both"/>
        <w:rPr>
          <w:rFonts w:ascii="Times New Roman" w:hAnsi="Times New Roman"/>
          <w:b/>
          <w:lang w:val="en-GB"/>
        </w:rPr>
      </w:pPr>
      <w:r w:rsidRPr="002E60A8">
        <w:rPr>
          <w:rFonts w:ascii="Times New Roman" w:hAnsi="Times New Roman"/>
          <w:b/>
          <w:lang w:val="en-GB"/>
        </w:rPr>
        <w:t>Not Human Subject Research (NHSR)</w:t>
      </w:r>
    </w:p>
    <w:p w14:paraId="284EB50E"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There are instances where certain projects/studies under specific circumstances may involve human subjects, but do not meet the regulatory definitions or may not need TCU IRB oversight</w:t>
      </w:r>
      <w:r>
        <w:rPr>
          <w:rFonts w:ascii="Times New Roman" w:hAnsi="Times New Roman"/>
          <w:lang w:val="en-GB"/>
        </w:rPr>
        <w:t xml:space="preserve"> beyond an initial human subject determination</w:t>
      </w:r>
      <w:r w:rsidRPr="002E60A8">
        <w:rPr>
          <w:rFonts w:ascii="Times New Roman" w:hAnsi="Times New Roman"/>
          <w:lang w:val="en-GB"/>
        </w:rPr>
        <w:t xml:space="preserve">. On the other hand, TCU acknowledges that some projects/studies which are student-led or meant to fulfil course-related requirements or facilitate internal programs, may include components which might fall under the definition of human subject research. To help with this distinction, the following are examples that </w:t>
      </w:r>
      <w:r w:rsidRPr="002E60A8">
        <w:rPr>
          <w:rFonts w:ascii="Times New Roman" w:hAnsi="Times New Roman"/>
          <w:u w:val="single"/>
          <w:lang w:val="en-GB"/>
        </w:rPr>
        <w:t>must be reviewed and approved by the TCU IRB</w:t>
      </w:r>
      <w:r>
        <w:rPr>
          <w:rFonts w:ascii="Times New Roman" w:hAnsi="Times New Roman"/>
          <w:u w:val="single"/>
          <w:lang w:val="en-GB"/>
        </w:rPr>
        <w:t xml:space="preserve"> as applicable</w:t>
      </w:r>
      <w:r w:rsidRPr="002E60A8">
        <w:rPr>
          <w:rFonts w:ascii="Times New Roman" w:hAnsi="Times New Roman"/>
          <w:lang w:val="en-GB"/>
        </w:rPr>
        <w:t xml:space="preserve">: </w:t>
      </w:r>
    </w:p>
    <w:p w14:paraId="6E849A72" w14:textId="77777777" w:rsidR="00B40B82" w:rsidRPr="002E60A8" w:rsidRDefault="00B40B82" w:rsidP="00B40B82">
      <w:pPr>
        <w:pStyle w:val="ListParagraph"/>
        <w:numPr>
          <w:ilvl w:val="0"/>
          <w:numId w:val="24"/>
        </w:numPr>
        <w:spacing w:after="160" w:line="259" w:lineRule="auto"/>
        <w:jc w:val="both"/>
        <w:rPr>
          <w:rFonts w:ascii="Times New Roman" w:hAnsi="Times New Roman"/>
          <w:lang w:val="en-GB"/>
        </w:rPr>
      </w:pPr>
      <w:r w:rsidRPr="002E60A8">
        <w:rPr>
          <w:rFonts w:ascii="Times New Roman" w:hAnsi="Times New Roman"/>
          <w:lang w:val="en-GB"/>
        </w:rPr>
        <w:t>Doctoral Dissertations</w:t>
      </w:r>
    </w:p>
    <w:p w14:paraId="702608BD" w14:textId="77777777" w:rsidR="00B40B82" w:rsidRPr="002E60A8" w:rsidRDefault="00B40B82" w:rsidP="00B40B82">
      <w:pPr>
        <w:pStyle w:val="ListParagraph"/>
        <w:numPr>
          <w:ilvl w:val="0"/>
          <w:numId w:val="24"/>
        </w:numPr>
        <w:spacing w:after="160" w:line="259" w:lineRule="auto"/>
        <w:jc w:val="both"/>
        <w:rPr>
          <w:rFonts w:ascii="Times New Roman" w:hAnsi="Times New Roman"/>
          <w:lang w:val="en-GB"/>
        </w:rPr>
      </w:pPr>
      <w:r w:rsidRPr="002E60A8">
        <w:rPr>
          <w:rFonts w:ascii="Times New Roman" w:hAnsi="Times New Roman"/>
          <w:lang w:val="en-GB"/>
        </w:rPr>
        <w:t>Funded Research</w:t>
      </w:r>
    </w:p>
    <w:p w14:paraId="7E2A2847" w14:textId="77777777" w:rsidR="00B40B82" w:rsidRPr="002E60A8" w:rsidRDefault="00B40B82" w:rsidP="00B40B82">
      <w:pPr>
        <w:pStyle w:val="ListParagraph"/>
        <w:numPr>
          <w:ilvl w:val="0"/>
          <w:numId w:val="24"/>
        </w:numPr>
        <w:spacing w:after="160" w:line="259" w:lineRule="auto"/>
        <w:jc w:val="both"/>
        <w:rPr>
          <w:rFonts w:ascii="Times New Roman" w:hAnsi="Times New Roman"/>
          <w:lang w:val="en-GB"/>
        </w:rPr>
      </w:pPr>
      <w:r w:rsidRPr="002E60A8">
        <w:rPr>
          <w:rFonts w:ascii="Times New Roman" w:hAnsi="Times New Roman"/>
          <w:lang w:val="en-GB"/>
        </w:rPr>
        <w:t>Collaborative Research with external institutions (outside of TCU)</w:t>
      </w:r>
    </w:p>
    <w:p w14:paraId="3258221B" w14:textId="77777777" w:rsidR="00B40B82" w:rsidRPr="002E60A8" w:rsidRDefault="00B40B82" w:rsidP="00B40B82">
      <w:pPr>
        <w:pStyle w:val="ListParagraph"/>
        <w:numPr>
          <w:ilvl w:val="0"/>
          <w:numId w:val="24"/>
        </w:numPr>
        <w:spacing w:after="160" w:line="259" w:lineRule="auto"/>
        <w:jc w:val="both"/>
        <w:rPr>
          <w:rFonts w:ascii="Times New Roman" w:hAnsi="Times New Roman"/>
          <w:lang w:val="en-GB"/>
        </w:rPr>
      </w:pPr>
      <w:r w:rsidRPr="002E60A8">
        <w:rPr>
          <w:rFonts w:ascii="Times New Roman" w:hAnsi="Times New Roman"/>
          <w:lang w:val="en-GB"/>
        </w:rPr>
        <w:t>Master Theses</w:t>
      </w:r>
    </w:p>
    <w:p w14:paraId="7A213874" w14:textId="77777777" w:rsidR="00B40B82" w:rsidRPr="002E60A8" w:rsidRDefault="00B40B82" w:rsidP="00B40B82">
      <w:pPr>
        <w:pStyle w:val="ListParagraph"/>
        <w:numPr>
          <w:ilvl w:val="0"/>
          <w:numId w:val="24"/>
        </w:numPr>
        <w:spacing w:after="160" w:line="259" w:lineRule="auto"/>
        <w:jc w:val="both"/>
        <w:rPr>
          <w:rFonts w:ascii="Times New Roman" w:hAnsi="Times New Roman"/>
          <w:lang w:val="en-GB"/>
        </w:rPr>
      </w:pPr>
      <w:r w:rsidRPr="002E60A8">
        <w:rPr>
          <w:rFonts w:ascii="Times New Roman" w:hAnsi="Times New Roman"/>
          <w:lang w:val="en-GB"/>
        </w:rPr>
        <w:t>Honours Theses</w:t>
      </w:r>
    </w:p>
    <w:p w14:paraId="677FA164"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In general, the above examples are in line with independent research in order to contribute to generalizable knowledge. A thesis or dissertation involving human subjects must obtain TCU IRB approval. It should be noted, that some disciplines may involve human subjects without any intent to contribute to generalizable knowledge (such as record oral history, write a biography, or create a work of art). Thus, it is recommended for the students and their advisors to contact the ORC for guidance and clarity</w:t>
      </w:r>
      <w:r>
        <w:rPr>
          <w:rFonts w:ascii="Times New Roman" w:hAnsi="Times New Roman"/>
          <w:lang w:val="en-GB"/>
        </w:rPr>
        <w:t xml:space="preserve"> well in advance</w:t>
      </w:r>
      <w:r w:rsidRPr="002E60A8">
        <w:rPr>
          <w:rFonts w:ascii="Times New Roman" w:hAnsi="Times New Roman"/>
          <w:lang w:val="en-GB"/>
        </w:rPr>
        <w:t xml:space="preserve">. </w:t>
      </w:r>
    </w:p>
    <w:p w14:paraId="265F5EDC"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 xml:space="preserve">Projects/studies that are deemed as </w:t>
      </w:r>
      <w:r w:rsidRPr="002E60A8">
        <w:rPr>
          <w:rFonts w:ascii="Times New Roman" w:hAnsi="Times New Roman"/>
          <w:b/>
          <w:lang w:val="en-GB"/>
        </w:rPr>
        <w:t>Not Human Subject Research (NHSR)</w:t>
      </w:r>
      <w:r w:rsidRPr="002E60A8">
        <w:rPr>
          <w:rFonts w:ascii="Times New Roman" w:hAnsi="Times New Roman"/>
          <w:lang w:val="en-GB"/>
        </w:rPr>
        <w:t xml:space="preserve"> will not need TCU IRB oversight</w:t>
      </w:r>
      <w:r>
        <w:rPr>
          <w:rFonts w:ascii="Times New Roman" w:hAnsi="Times New Roman"/>
          <w:lang w:val="en-GB"/>
        </w:rPr>
        <w:t xml:space="preserve"> beyond the initial determination</w:t>
      </w:r>
      <w:r w:rsidRPr="002E60A8">
        <w:rPr>
          <w:rFonts w:ascii="Times New Roman" w:hAnsi="Times New Roman"/>
          <w:lang w:val="en-GB"/>
        </w:rPr>
        <w:t xml:space="preserve">, but will be provided with a </w:t>
      </w:r>
      <w:r w:rsidRPr="002E60A8">
        <w:rPr>
          <w:rFonts w:ascii="Times New Roman" w:hAnsi="Times New Roman"/>
          <w:u w:val="single"/>
          <w:lang w:val="en-GB"/>
        </w:rPr>
        <w:t>formal determination letter</w:t>
      </w:r>
      <w:r w:rsidRPr="002E60A8">
        <w:rPr>
          <w:rFonts w:ascii="Times New Roman" w:hAnsi="Times New Roman"/>
          <w:lang w:val="en-GB"/>
        </w:rPr>
        <w:t xml:space="preserve"> that states the project does not require TCU IRB oversight. This letter will provide useful for individuals or entities that may request proof of a formal determination letter. </w:t>
      </w:r>
    </w:p>
    <w:p w14:paraId="33C6D61F" w14:textId="77777777" w:rsidR="00B40B82" w:rsidRPr="002E60A8" w:rsidRDefault="00B40B82" w:rsidP="00B40B82">
      <w:pPr>
        <w:jc w:val="both"/>
        <w:rPr>
          <w:rFonts w:ascii="Times New Roman" w:hAnsi="Times New Roman"/>
          <w:u w:val="single"/>
          <w:lang w:val="en-GB"/>
        </w:rPr>
      </w:pPr>
      <w:r w:rsidRPr="002E60A8">
        <w:rPr>
          <w:rFonts w:ascii="Times New Roman" w:hAnsi="Times New Roman"/>
          <w:u w:val="single"/>
          <w:lang w:val="en-GB"/>
        </w:rPr>
        <w:t>Student Projects/ Classroom Activities</w:t>
      </w:r>
    </w:p>
    <w:p w14:paraId="6E111F94"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 xml:space="preserve">For Course-Related Research or Research Methods Training/ Curriculum, whereby the primary focus is the learning experience and teaching of research methods and procedures, can be assigned as </w:t>
      </w:r>
      <w:r w:rsidRPr="002E60A8">
        <w:rPr>
          <w:rFonts w:ascii="Times New Roman" w:hAnsi="Times New Roman"/>
          <w:b/>
          <w:lang w:val="en-GB"/>
        </w:rPr>
        <w:t>NHSR</w:t>
      </w:r>
      <w:r w:rsidRPr="002E60A8">
        <w:rPr>
          <w:rFonts w:ascii="Times New Roman" w:hAnsi="Times New Roman"/>
          <w:lang w:val="en-GB"/>
        </w:rPr>
        <w:t>. Class a</w:t>
      </w:r>
      <w:r>
        <w:rPr>
          <w:rFonts w:ascii="Times New Roman" w:hAnsi="Times New Roman"/>
          <w:lang w:val="en-GB"/>
        </w:rPr>
        <w:t>ctivities</w:t>
      </w:r>
      <w:r w:rsidRPr="002E60A8">
        <w:rPr>
          <w:rFonts w:ascii="Times New Roman" w:hAnsi="Times New Roman"/>
          <w:lang w:val="en-GB"/>
        </w:rPr>
        <w:t>/</w:t>
      </w:r>
      <w:r>
        <w:rPr>
          <w:rFonts w:ascii="Times New Roman" w:hAnsi="Times New Roman"/>
          <w:lang w:val="en-GB"/>
        </w:rPr>
        <w:t xml:space="preserve"> </w:t>
      </w:r>
      <w:r w:rsidRPr="002E60A8">
        <w:rPr>
          <w:rFonts w:ascii="Times New Roman" w:hAnsi="Times New Roman"/>
          <w:lang w:val="en-GB"/>
        </w:rPr>
        <w:t>projects may include administrating surveys, interviews, questionnaires, and other interactions with human subjects.</w:t>
      </w:r>
      <w:r>
        <w:rPr>
          <w:rFonts w:ascii="Times New Roman" w:hAnsi="Times New Roman"/>
          <w:lang w:val="en-GB"/>
        </w:rPr>
        <w:t xml:space="preserve"> </w:t>
      </w:r>
      <w:r w:rsidRPr="004D7577">
        <w:rPr>
          <w:rFonts w:ascii="Times New Roman" w:hAnsi="Times New Roman"/>
          <w:b/>
          <w:lang w:val="en-GB"/>
        </w:rPr>
        <w:t>Faculty PI’s may submit a blanket NHSR application in Cayuse for the work your students will conduct</w:t>
      </w:r>
      <w:r>
        <w:rPr>
          <w:rFonts w:ascii="Times New Roman" w:hAnsi="Times New Roman"/>
          <w:lang w:val="en-GB"/>
        </w:rPr>
        <w:t>. Each project does not need to submit a separate application</w:t>
      </w:r>
      <w:r w:rsidRPr="002E60A8">
        <w:rPr>
          <w:rFonts w:ascii="Times New Roman" w:hAnsi="Times New Roman"/>
          <w:lang w:val="en-GB"/>
        </w:rPr>
        <w:t xml:space="preserve"> However, the end goal of such activities</w:t>
      </w:r>
      <w:r>
        <w:rPr>
          <w:rFonts w:ascii="Times New Roman" w:hAnsi="Times New Roman"/>
          <w:lang w:val="en-GB"/>
        </w:rPr>
        <w:t>/projects</w:t>
      </w:r>
      <w:r w:rsidRPr="002E60A8">
        <w:rPr>
          <w:rFonts w:ascii="Times New Roman" w:hAnsi="Times New Roman"/>
          <w:lang w:val="en-GB"/>
        </w:rPr>
        <w:t xml:space="preserve"> is practical appreciation and understanding of research procedures, also, the end result of these activities</w:t>
      </w:r>
      <w:r>
        <w:rPr>
          <w:rFonts w:ascii="Times New Roman" w:hAnsi="Times New Roman"/>
          <w:lang w:val="en-GB"/>
        </w:rPr>
        <w:t>/projects</w:t>
      </w:r>
      <w:r w:rsidRPr="002E60A8">
        <w:rPr>
          <w:rFonts w:ascii="Times New Roman" w:hAnsi="Times New Roman"/>
          <w:lang w:val="en-GB"/>
        </w:rPr>
        <w:t xml:space="preserve"> is purely for presentation within classroom and not for any outside publication or public presentation. </w:t>
      </w:r>
    </w:p>
    <w:p w14:paraId="21F55313"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 xml:space="preserve">As such, the following conditions must be met in order to be deemed as NHSR: </w:t>
      </w:r>
    </w:p>
    <w:p w14:paraId="5B80BF5E"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project involves minimal risk to human subjects (no more than what may be encountered in daily life experiences) [45 CFR 46.102(j)].</w:t>
      </w:r>
    </w:p>
    <w:p w14:paraId="753A4D37"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project is limited to surveys or questionnaire procedures, interviews, observations, or educational exercises as taught/ studied within the respective classes.</w:t>
      </w:r>
    </w:p>
    <w:p w14:paraId="58B12F8A"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 xml:space="preserve">project does not involve sensitive topics or questions (inquiries about alcohol or drug use; criminal activity, sexual attitudes or behaviours, medical or financial status) or confidential information, that could place the human subject at risk if disclosed. </w:t>
      </w:r>
    </w:p>
    <w:p w14:paraId="2079A504"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project does not involve members of vulnerable populations [45 CFR 46 Subpart B, C &amp; D]</w:t>
      </w:r>
    </w:p>
    <w:p w14:paraId="75BC42CC"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 xml:space="preserve">project must allow for voluntary participation and recruited without coercion or undue influence (it might be advantageous to include a consenting process along with a consent document/ research information sheet). </w:t>
      </w:r>
    </w:p>
    <w:p w14:paraId="525B7CBA"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 xml:space="preserve">project does not </w:t>
      </w:r>
      <w:proofErr w:type="gramStart"/>
      <w:r w:rsidRPr="002E60A8">
        <w:rPr>
          <w:rFonts w:ascii="Times New Roman" w:hAnsi="Times New Roman"/>
          <w:lang w:val="en-GB"/>
        </w:rPr>
        <w:t>collect</w:t>
      </w:r>
      <w:proofErr w:type="gramEnd"/>
      <w:r w:rsidRPr="002E60A8">
        <w:rPr>
          <w:rFonts w:ascii="Times New Roman" w:hAnsi="Times New Roman"/>
          <w:lang w:val="en-GB"/>
        </w:rPr>
        <w:t xml:space="preserve"> identifiers.</w:t>
      </w:r>
    </w:p>
    <w:p w14:paraId="1ACCC5B6" w14:textId="77777777" w:rsidR="00B40B82" w:rsidRPr="002E60A8" w:rsidRDefault="00B40B82" w:rsidP="00B40B82">
      <w:pPr>
        <w:pStyle w:val="ListParagraph"/>
        <w:numPr>
          <w:ilvl w:val="0"/>
          <w:numId w:val="25"/>
        </w:numPr>
        <w:spacing w:after="160" w:line="259" w:lineRule="auto"/>
        <w:jc w:val="both"/>
        <w:rPr>
          <w:rFonts w:ascii="Times New Roman" w:hAnsi="Times New Roman"/>
          <w:lang w:val="en-GB"/>
        </w:rPr>
      </w:pPr>
      <w:r w:rsidRPr="002E60A8">
        <w:rPr>
          <w:rFonts w:ascii="Times New Roman" w:hAnsi="Times New Roman"/>
          <w:lang w:val="en-GB"/>
        </w:rPr>
        <w:t xml:space="preserve">The </w:t>
      </w:r>
      <w:r>
        <w:rPr>
          <w:rFonts w:ascii="Times New Roman" w:hAnsi="Times New Roman"/>
          <w:lang w:val="en-GB"/>
        </w:rPr>
        <w:t xml:space="preserve">activity/ </w:t>
      </w:r>
      <w:r w:rsidRPr="002E60A8">
        <w:rPr>
          <w:rFonts w:ascii="Times New Roman" w:hAnsi="Times New Roman"/>
          <w:lang w:val="en-GB"/>
        </w:rPr>
        <w:t xml:space="preserve">project’s study team members are not receiving any monetary compensation or any type of support from external organisation, institution or agency. </w:t>
      </w:r>
    </w:p>
    <w:p w14:paraId="3CC99E4D" w14:textId="77777777" w:rsidR="00B40B82" w:rsidRDefault="00B40B82" w:rsidP="00B40B82">
      <w:pPr>
        <w:jc w:val="both"/>
        <w:rPr>
          <w:rFonts w:ascii="Times New Roman" w:hAnsi="Times New Roman"/>
          <w:u w:val="single"/>
        </w:rPr>
      </w:pPr>
    </w:p>
    <w:p w14:paraId="1DCAB8E1" w14:textId="77777777" w:rsidR="00B40B82" w:rsidRDefault="00B40B82" w:rsidP="00B40B82">
      <w:pPr>
        <w:jc w:val="both"/>
        <w:rPr>
          <w:rFonts w:ascii="Times New Roman" w:hAnsi="Times New Roman"/>
          <w:u w:val="single"/>
        </w:rPr>
      </w:pPr>
    </w:p>
    <w:p w14:paraId="05235F77" w14:textId="77777777" w:rsidR="00B40B82" w:rsidRPr="002E60A8" w:rsidRDefault="00B40B82" w:rsidP="00B40B82">
      <w:pPr>
        <w:jc w:val="both"/>
        <w:rPr>
          <w:rFonts w:ascii="Times New Roman" w:hAnsi="Times New Roman"/>
          <w:u w:val="single"/>
        </w:rPr>
      </w:pPr>
    </w:p>
    <w:p w14:paraId="391215E6" w14:textId="77777777" w:rsidR="00B40B82" w:rsidRPr="002E60A8" w:rsidRDefault="00B40B82" w:rsidP="00B40B82">
      <w:pPr>
        <w:jc w:val="both"/>
        <w:rPr>
          <w:rFonts w:ascii="Times New Roman" w:hAnsi="Times New Roman"/>
          <w:u w:val="single"/>
        </w:rPr>
      </w:pPr>
      <w:r w:rsidRPr="002E60A8">
        <w:rPr>
          <w:rFonts w:ascii="Times New Roman" w:hAnsi="Times New Roman"/>
          <w:u w:val="single"/>
        </w:rPr>
        <w:t>Studies that are Not Human Subject Research</w:t>
      </w:r>
    </w:p>
    <w:p w14:paraId="05DEDED7" w14:textId="77777777" w:rsidR="00B40B82" w:rsidRPr="002E60A8" w:rsidRDefault="00B40B82" w:rsidP="00B40B82">
      <w:pPr>
        <w:jc w:val="both"/>
        <w:rPr>
          <w:rFonts w:ascii="Times New Roman" w:hAnsi="Times New Roman"/>
        </w:rPr>
      </w:pPr>
      <w:r w:rsidRPr="002E60A8">
        <w:rPr>
          <w:rFonts w:ascii="Times New Roman" w:hAnsi="Times New Roman"/>
        </w:rPr>
        <w:t>Any of following types of studies are examples of data collection procedures that would be deemed as Not Human Subject Research:</w:t>
      </w:r>
    </w:p>
    <w:p w14:paraId="5217A01E" w14:textId="77777777" w:rsidR="00B40B82" w:rsidRPr="002E60A8" w:rsidRDefault="00B40B82" w:rsidP="00B40B82">
      <w:pPr>
        <w:jc w:val="both"/>
        <w:rPr>
          <w:rFonts w:ascii="Times New Roman" w:hAnsi="Times New Roman"/>
        </w:rPr>
      </w:pPr>
      <w:r w:rsidRPr="002E60A8">
        <w:rPr>
          <w:rFonts w:ascii="Times New Roman" w:hAnsi="Times New Roman"/>
          <w:b/>
          <w:bCs/>
        </w:rPr>
        <w:t>Data Collection</w:t>
      </w:r>
      <w:r w:rsidRPr="002E60A8">
        <w:rPr>
          <w:rFonts w:ascii="Times New Roman" w:hAnsi="Times New Roman"/>
        </w:rPr>
        <w:t xml:space="preserve"> – used for metrics of a specific object or subject; such as university administrative purposes, internal departmental, teaching evaluations, customer service surveys </w:t>
      </w:r>
    </w:p>
    <w:p w14:paraId="6F6679B5" w14:textId="77777777" w:rsidR="00B40B82" w:rsidRPr="002E60A8" w:rsidRDefault="00B40B82" w:rsidP="00B40B82">
      <w:pPr>
        <w:jc w:val="both"/>
        <w:rPr>
          <w:rFonts w:ascii="Times New Roman" w:hAnsi="Times New Roman"/>
          <w:i/>
          <w:iCs/>
        </w:rPr>
      </w:pPr>
      <w:r w:rsidRPr="002E60A8">
        <w:rPr>
          <w:rFonts w:ascii="Times New Roman" w:hAnsi="Times New Roman"/>
          <w:b/>
          <w:bCs/>
        </w:rPr>
        <w:t>Service Surveys</w:t>
      </w:r>
      <w:r w:rsidRPr="002E60A8">
        <w:rPr>
          <w:rFonts w:ascii="Times New Roman" w:hAnsi="Times New Roman"/>
        </w:rPr>
        <w:t xml:space="preserve"> –issued or completed by University personnel for the intent and purposes of improving services and programs of the university, or for developing new services or programs for students, employees, or alumni; so long as privacy is protected, confidentiality is maintained, and the nature of participation was voluntary [see Quality Improvement]. </w:t>
      </w:r>
      <w:r w:rsidRPr="002E60A8">
        <w:rPr>
          <w:rFonts w:ascii="Times New Roman" w:hAnsi="Times New Roman"/>
          <w:i/>
          <w:iCs/>
        </w:rPr>
        <w:t xml:space="preserve">Note: should the data be used for future opportunities, or a new study, that may contribute to generalizable knowledge, then TCU IRB review and approval may be required before the data can be used. </w:t>
      </w:r>
    </w:p>
    <w:p w14:paraId="49581AA7" w14:textId="77777777" w:rsidR="00B40B82" w:rsidRPr="002E60A8" w:rsidRDefault="00B40B82" w:rsidP="00B40B82">
      <w:pPr>
        <w:jc w:val="both"/>
        <w:rPr>
          <w:rFonts w:ascii="Times New Roman" w:hAnsi="Times New Roman"/>
        </w:rPr>
      </w:pPr>
      <w:r w:rsidRPr="002E60A8">
        <w:rPr>
          <w:rFonts w:ascii="Times New Roman" w:hAnsi="Times New Roman"/>
          <w:b/>
          <w:bCs/>
        </w:rPr>
        <w:t>Quality Improvement</w:t>
      </w:r>
      <w:r>
        <w:rPr>
          <w:rFonts w:ascii="Times New Roman" w:hAnsi="Times New Roman"/>
          <w:b/>
          <w:bCs/>
        </w:rPr>
        <w:t xml:space="preserve"> (QI)</w:t>
      </w:r>
      <w:r w:rsidRPr="002E60A8">
        <w:rPr>
          <w:rFonts w:ascii="Times New Roman" w:hAnsi="Times New Roman"/>
        </w:rPr>
        <w:t xml:space="preserve"> – the systematic, data-guided activities designed to bring about immediate, positive changes in the delivery of education or processes in a particular setting. QI involves deliberate actions to improve processes, guided by data reflecting the effects (e.g., types of practical problem solving; an evidence-based management style; the application of the science of how to bring about system change; review of aggregate data at the organizational level to identify a process or management change that can be expected to improvements).</w:t>
      </w:r>
    </w:p>
    <w:p w14:paraId="540342EC" w14:textId="77777777" w:rsidR="00B40B82" w:rsidRPr="002E60A8" w:rsidRDefault="00B40B82" w:rsidP="00B40B82">
      <w:pPr>
        <w:jc w:val="both"/>
        <w:rPr>
          <w:rFonts w:ascii="Times New Roman" w:hAnsi="Times New Roman"/>
        </w:rPr>
      </w:pPr>
      <w:r w:rsidRPr="002E60A8">
        <w:rPr>
          <w:rFonts w:ascii="Times New Roman" w:hAnsi="Times New Roman"/>
          <w:b/>
          <w:bCs/>
        </w:rPr>
        <w:t>Information-Gathering Interviews</w:t>
      </w:r>
      <w:r w:rsidRPr="002E60A8">
        <w:rPr>
          <w:rFonts w:ascii="Times New Roman" w:hAnsi="Times New Roman"/>
        </w:rPr>
        <w:t xml:space="preserve"> – to pose questions in order to gather feedback on things, products, or policies rather than people themselves or their thoughts/ personal opinions. For example: gathering feedback on the policy of keeping the library open twenty-four hours during the week, or the impact of smart classrooms on teaching and learning.  </w:t>
      </w:r>
    </w:p>
    <w:p w14:paraId="1C2B31CD" w14:textId="77777777" w:rsidR="00B40B82" w:rsidRPr="002E60A8" w:rsidRDefault="00B40B82" w:rsidP="00B40B82">
      <w:pPr>
        <w:jc w:val="both"/>
        <w:rPr>
          <w:rFonts w:ascii="Times New Roman" w:hAnsi="Times New Roman"/>
        </w:rPr>
      </w:pPr>
      <w:r w:rsidRPr="002E60A8">
        <w:rPr>
          <w:rFonts w:ascii="Times New Roman" w:hAnsi="Times New Roman"/>
          <w:b/>
          <w:bCs/>
        </w:rPr>
        <w:t>Course-Related Activities</w:t>
      </w:r>
      <w:r w:rsidRPr="002E60A8">
        <w:rPr>
          <w:rFonts w:ascii="Times New Roman" w:hAnsi="Times New Roman"/>
        </w:rPr>
        <w:t xml:space="preserve"> – restricted to purely educational and teaching purposes whereby the data collected from or about human subjects is only intended for in-class presentation to peers, group work, or an assignment, and not for outside-classroom purposes or uses [see Academic Projects].</w:t>
      </w:r>
    </w:p>
    <w:p w14:paraId="402245B0" w14:textId="77777777" w:rsidR="00B40B82" w:rsidRPr="002E60A8" w:rsidRDefault="00B40B82" w:rsidP="00B40B82">
      <w:pPr>
        <w:jc w:val="both"/>
        <w:rPr>
          <w:rFonts w:ascii="Times New Roman" w:hAnsi="Times New Roman"/>
          <w:i/>
          <w:iCs/>
        </w:rPr>
      </w:pPr>
      <w:r w:rsidRPr="002E60A8">
        <w:rPr>
          <w:rFonts w:ascii="Times New Roman" w:hAnsi="Times New Roman"/>
          <w:b/>
          <w:bCs/>
        </w:rPr>
        <w:t>Academic Projects</w:t>
      </w:r>
      <w:r w:rsidRPr="002E60A8">
        <w:rPr>
          <w:rFonts w:ascii="Times New Roman" w:hAnsi="Times New Roman"/>
        </w:rPr>
        <w:t xml:space="preserve"> - projects or student assignments involving the collection of data from human subjects when the data is used solely for the purpose of learning research methods and not intended to be used to develop or contribute to generalizable knowledge. </w:t>
      </w:r>
      <w:r w:rsidRPr="002E60A8">
        <w:rPr>
          <w:rFonts w:ascii="Times New Roman" w:hAnsi="Times New Roman"/>
          <w:i/>
          <w:iCs/>
        </w:rPr>
        <w:t>Note: should the data be used for future opportunities, or a new study, that may contribute to generalizable knowledge, then TCU IRB review and approval may be required before the data can be used.</w:t>
      </w:r>
    </w:p>
    <w:p w14:paraId="7DD83DF6" w14:textId="77777777" w:rsidR="00B40B82" w:rsidRPr="002E60A8" w:rsidRDefault="00B40B82" w:rsidP="00B40B82">
      <w:pPr>
        <w:jc w:val="both"/>
        <w:rPr>
          <w:rFonts w:ascii="Times New Roman" w:hAnsi="Times New Roman"/>
        </w:rPr>
      </w:pPr>
      <w:r w:rsidRPr="002E60A8">
        <w:rPr>
          <w:rFonts w:ascii="Times New Roman" w:hAnsi="Times New Roman"/>
          <w:b/>
          <w:bCs/>
        </w:rPr>
        <w:t>Publicly Available Data</w:t>
      </w:r>
      <w:r w:rsidRPr="002E60A8">
        <w:rPr>
          <w:rFonts w:ascii="Times New Roman" w:hAnsi="Times New Roman"/>
        </w:rPr>
        <w:t xml:space="preserve"> – already made accessible to the public via websites or documents/ records. For example: census data and labor statistics. </w:t>
      </w:r>
    </w:p>
    <w:p w14:paraId="6BCDFC14" w14:textId="77777777" w:rsidR="00B40B82" w:rsidRPr="00997EC7" w:rsidRDefault="00B40B82" w:rsidP="00B40B82">
      <w:pPr>
        <w:jc w:val="both"/>
        <w:rPr>
          <w:rFonts w:ascii="Times New Roman" w:hAnsi="Times New Roman"/>
          <w:b/>
          <w:i/>
        </w:rPr>
      </w:pPr>
      <w:r w:rsidRPr="002E60A8">
        <w:rPr>
          <w:rFonts w:ascii="Times New Roman" w:hAnsi="Times New Roman"/>
          <w:b/>
          <w:bCs/>
        </w:rPr>
        <w:t>Secondary Data Analysis</w:t>
      </w:r>
      <w:r w:rsidRPr="002E60A8">
        <w:rPr>
          <w:rFonts w:ascii="Times New Roman" w:hAnsi="Times New Roman"/>
        </w:rPr>
        <w:t xml:space="preserve"> – the analysis of data that was collected by someone else for another primary purpose. The aggregate data does not contain any identifiers (de-identified), meaning the dataset has been stripped of all identifying information and there is no way it could be linked back to the participants from whom it was originally collected (through a key to a coding system or by other means)</w:t>
      </w:r>
      <w:r>
        <w:rPr>
          <w:rFonts w:ascii="Times New Roman" w:hAnsi="Times New Roman"/>
        </w:rPr>
        <w:t xml:space="preserve">. See </w:t>
      </w:r>
      <w:r w:rsidRPr="00997EC7">
        <w:rPr>
          <w:rFonts w:ascii="Times New Roman" w:hAnsi="Times New Roman"/>
          <w:b/>
          <w:i/>
        </w:rPr>
        <w:t xml:space="preserve">Secondary Data guidance document for more information. </w:t>
      </w:r>
    </w:p>
    <w:p w14:paraId="584C72E4" w14:textId="77777777" w:rsidR="00B40B82" w:rsidRPr="002E60A8" w:rsidRDefault="00B40B82" w:rsidP="00B40B82">
      <w:pPr>
        <w:jc w:val="both"/>
        <w:rPr>
          <w:rFonts w:ascii="Times New Roman" w:hAnsi="Times New Roman"/>
        </w:rPr>
      </w:pPr>
      <w:r w:rsidRPr="002E60A8">
        <w:rPr>
          <w:rFonts w:ascii="Times New Roman" w:hAnsi="Times New Roman"/>
          <w:b/>
          <w:bCs/>
        </w:rPr>
        <w:t>Case Reports</w:t>
      </w:r>
      <w:r w:rsidRPr="002E60A8">
        <w:rPr>
          <w:rFonts w:ascii="Times New Roman" w:hAnsi="Times New Roman"/>
        </w:rPr>
        <w:t xml:space="preserve"> – the use of information collected from a clinical or educational activity rather than a research activity and presented on no more than three (3) participants. Case reports are generally done by retrospective review of the medical record and highlight a unique treatment, case, or outcome. The examination of the case is usually not systematic and there is usually no data analysis or testing of a hypothesis. Investigators must ensure that the HIPAA privacy rules are followed with respect to using or accessing PHI.</w:t>
      </w:r>
    </w:p>
    <w:p w14:paraId="07E076C3" w14:textId="77777777" w:rsidR="00B40B82" w:rsidRDefault="00B40B82" w:rsidP="00B40B82">
      <w:pPr>
        <w:rPr>
          <w:rFonts w:ascii="Times New Roman" w:hAnsi="Times New Roman"/>
        </w:rPr>
      </w:pPr>
    </w:p>
    <w:p w14:paraId="59D05127" w14:textId="77777777" w:rsidR="00B40B82" w:rsidRPr="002E60A8" w:rsidRDefault="00B40B82" w:rsidP="00B40B82">
      <w:pPr>
        <w:jc w:val="both"/>
        <w:rPr>
          <w:rFonts w:ascii="Times New Roman" w:hAnsi="Times New Roman"/>
          <w:u w:val="single"/>
        </w:rPr>
      </w:pPr>
      <w:r w:rsidRPr="002E60A8">
        <w:rPr>
          <w:rFonts w:ascii="Times New Roman" w:hAnsi="Times New Roman"/>
          <w:u w:val="single"/>
        </w:rPr>
        <w:t xml:space="preserve">Exempt Determination vs Not Human Subject Research Determination </w:t>
      </w:r>
    </w:p>
    <w:p w14:paraId="27C63749" w14:textId="77777777" w:rsidR="00B40B82" w:rsidRPr="002E60A8" w:rsidRDefault="00B40B82" w:rsidP="00B40B82">
      <w:pPr>
        <w:jc w:val="both"/>
        <w:rPr>
          <w:rFonts w:ascii="Times New Roman" w:hAnsi="Times New Roman"/>
        </w:rPr>
      </w:pPr>
      <w:r w:rsidRPr="002E60A8">
        <w:rPr>
          <w:rFonts w:ascii="Times New Roman" w:hAnsi="Times New Roman"/>
        </w:rPr>
        <w:t xml:space="preserve">Exempt and NHSR determinations are different. Exempt determinations are applied to human subject research as applicable based on one or more categories stated in 45 CFR 46.104(d) (such as taking place in educational settings or interactions with the use of educational tests). Whereas, NHSR determinations are based on not meeting the definitions set by federal regulations. </w:t>
      </w:r>
    </w:p>
    <w:p w14:paraId="7A43B77E" w14:textId="77777777" w:rsidR="00B40B82" w:rsidRPr="002E60A8" w:rsidRDefault="00B40B82" w:rsidP="00B40B82">
      <w:pPr>
        <w:jc w:val="both"/>
        <w:rPr>
          <w:rFonts w:ascii="Times New Roman" w:hAnsi="Times New Roman"/>
          <w:u w:val="single"/>
        </w:rPr>
      </w:pPr>
      <w:r w:rsidRPr="002E60A8">
        <w:rPr>
          <w:rFonts w:ascii="Times New Roman" w:hAnsi="Times New Roman"/>
          <w:u w:val="single"/>
        </w:rPr>
        <w:t>Facul</w:t>
      </w:r>
      <w:bookmarkStart w:id="0" w:name="_GoBack"/>
      <w:bookmarkEnd w:id="0"/>
      <w:r w:rsidRPr="002E60A8">
        <w:rPr>
          <w:rFonts w:ascii="Times New Roman" w:hAnsi="Times New Roman"/>
          <w:u w:val="single"/>
        </w:rPr>
        <w:t>ty/ Advisor Responsibilities</w:t>
      </w:r>
    </w:p>
    <w:p w14:paraId="12E36406" w14:textId="77777777" w:rsidR="00B40B82" w:rsidRPr="002E60A8" w:rsidRDefault="00B40B82" w:rsidP="00B40B82">
      <w:pPr>
        <w:jc w:val="both"/>
        <w:rPr>
          <w:rFonts w:ascii="Times New Roman" w:hAnsi="Times New Roman"/>
        </w:rPr>
      </w:pPr>
      <w:r w:rsidRPr="002E60A8">
        <w:rPr>
          <w:rFonts w:ascii="Times New Roman" w:hAnsi="Times New Roman"/>
        </w:rPr>
        <w:lastRenderedPageBreak/>
        <w:t xml:space="preserve">Those who lead a class or advise a student, over classroom-based </w:t>
      </w:r>
      <w:proofErr w:type="spellStart"/>
      <w:r w:rsidRPr="002E60A8">
        <w:rPr>
          <w:rFonts w:ascii="Times New Roman" w:hAnsi="Times New Roman"/>
        </w:rPr>
        <w:t>activitiy</w:t>
      </w:r>
      <w:proofErr w:type="spellEnd"/>
      <w:r w:rsidRPr="002E60A8">
        <w:rPr>
          <w:rFonts w:ascii="Times New Roman" w:hAnsi="Times New Roman"/>
        </w:rPr>
        <w:t xml:space="preserve"> or course-related project, are responsible for determining whether or not said activity/ project will require TCU IRB review. This guidance document serves to inform faculty, staff and students (both undergraduate and graduates) about assuring the guidelines outlined here are met, and should any activity/project fall outside of these stated guidelines, then necessary steps are taken to submit for TCU IRB review and obtain approval. Contact the ORC for any assistance and further clarification </w:t>
      </w:r>
    </w:p>
    <w:p w14:paraId="3880E869"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 xml:space="preserve">In addition, it is the responsibility of the faculty/ advisor to ensure the rights and welfare of human subjects recruited in any activity/ project, are protected. That standard research practices are enforced; such as obtaining consent, ensuring privacy and confidentiality is maintained, voluntary nature is always granted and clearly understood, responsible fieldwork, and pertinent contact information for further reference and inquires.  </w:t>
      </w:r>
    </w:p>
    <w:p w14:paraId="4460E0C2" w14:textId="77777777" w:rsidR="00B40B82" w:rsidRPr="002E60A8" w:rsidRDefault="00B40B82" w:rsidP="00B40B82">
      <w:pPr>
        <w:jc w:val="both"/>
        <w:rPr>
          <w:rFonts w:ascii="Times New Roman" w:hAnsi="Times New Roman"/>
          <w:lang w:val="en-GB"/>
        </w:rPr>
      </w:pPr>
      <w:r w:rsidRPr="002E60A8">
        <w:rPr>
          <w:rFonts w:ascii="Times New Roman" w:hAnsi="Times New Roman"/>
          <w:lang w:val="en-GB"/>
        </w:rPr>
        <w:t xml:space="preserve"> The following information can be used for disclosure purposes to human subjects being recruited for classroom-based activities or course-related projects (if providing a consent document or research information sheet, it is recommended to include these as well):</w:t>
      </w:r>
    </w:p>
    <w:p w14:paraId="539B396F" w14:textId="77777777" w:rsidR="00B40B82" w:rsidRPr="002E60A8" w:rsidRDefault="00B40B82" w:rsidP="00B40B82">
      <w:pPr>
        <w:pStyle w:val="ListParagraph"/>
        <w:numPr>
          <w:ilvl w:val="0"/>
          <w:numId w:val="26"/>
        </w:numPr>
        <w:spacing w:after="160" w:line="259" w:lineRule="auto"/>
        <w:jc w:val="both"/>
        <w:rPr>
          <w:rFonts w:ascii="Times New Roman" w:hAnsi="Times New Roman"/>
          <w:lang w:val="en-GB"/>
        </w:rPr>
      </w:pPr>
      <w:r w:rsidRPr="002E60A8">
        <w:rPr>
          <w:rFonts w:ascii="Times New Roman" w:hAnsi="Times New Roman"/>
          <w:lang w:val="en-GB"/>
        </w:rPr>
        <w:t xml:space="preserve">The student makes known that they are a TCU student who is conducting this activity/ project for sole purpose of a course/ educational requirement – proceed to state what the specific course/ educational requirement is. </w:t>
      </w:r>
    </w:p>
    <w:p w14:paraId="04F731B1" w14:textId="77777777" w:rsidR="00B40B82" w:rsidRPr="002E60A8" w:rsidRDefault="00B40B82" w:rsidP="00B40B82">
      <w:pPr>
        <w:pStyle w:val="ListParagraph"/>
        <w:numPr>
          <w:ilvl w:val="0"/>
          <w:numId w:val="26"/>
        </w:numPr>
        <w:spacing w:after="160" w:line="259" w:lineRule="auto"/>
        <w:jc w:val="both"/>
        <w:rPr>
          <w:rFonts w:ascii="Times New Roman" w:hAnsi="Times New Roman"/>
          <w:lang w:val="en-GB"/>
        </w:rPr>
      </w:pPr>
      <w:r w:rsidRPr="002E60A8">
        <w:rPr>
          <w:rFonts w:ascii="Times New Roman" w:hAnsi="Times New Roman"/>
          <w:lang w:val="en-GB"/>
        </w:rPr>
        <w:t xml:space="preserve">The name and contact information for the supervising faculty/ advisor. </w:t>
      </w:r>
    </w:p>
    <w:p w14:paraId="1A3A0907" w14:textId="77777777" w:rsidR="00B40B82" w:rsidRPr="002E60A8" w:rsidRDefault="00B40B82" w:rsidP="00B40B82">
      <w:pPr>
        <w:pStyle w:val="ListParagraph"/>
        <w:numPr>
          <w:ilvl w:val="0"/>
          <w:numId w:val="26"/>
        </w:numPr>
        <w:spacing w:after="160" w:line="259" w:lineRule="auto"/>
        <w:jc w:val="both"/>
        <w:rPr>
          <w:rFonts w:ascii="Times New Roman" w:hAnsi="Times New Roman"/>
          <w:lang w:val="en-GB"/>
        </w:rPr>
      </w:pPr>
      <w:r w:rsidRPr="002E60A8">
        <w:rPr>
          <w:rFonts w:ascii="Times New Roman" w:hAnsi="Times New Roman"/>
          <w:lang w:val="en-GB"/>
        </w:rPr>
        <w:t>A statement about who will have access to the collected data and/or aggregated dataset (</w:t>
      </w:r>
      <w:proofErr w:type="spellStart"/>
      <w:r w:rsidRPr="002E60A8">
        <w:rPr>
          <w:rFonts w:ascii="Times New Roman" w:hAnsi="Times New Roman"/>
          <w:lang w:val="en-GB"/>
        </w:rPr>
        <w:t>i.e</w:t>
      </w:r>
      <w:proofErr w:type="spellEnd"/>
      <w:r w:rsidRPr="002E60A8">
        <w:rPr>
          <w:rFonts w:ascii="Times New Roman" w:hAnsi="Times New Roman"/>
          <w:lang w:val="en-GB"/>
        </w:rPr>
        <w:t>: faculty/ advisor and student only).</w:t>
      </w:r>
    </w:p>
    <w:p w14:paraId="3F790E16" w14:textId="77777777" w:rsidR="00B40B82" w:rsidRPr="002E60A8" w:rsidRDefault="00B40B82" w:rsidP="00B40B82">
      <w:pPr>
        <w:pStyle w:val="ListParagraph"/>
        <w:numPr>
          <w:ilvl w:val="0"/>
          <w:numId w:val="26"/>
        </w:numPr>
        <w:spacing w:after="160" w:line="259" w:lineRule="auto"/>
        <w:jc w:val="both"/>
        <w:rPr>
          <w:rFonts w:ascii="Times New Roman" w:hAnsi="Times New Roman"/>
          <w:lang w:val="en-GB"/>
        </w:rPr>
      </w:pPr>
      <w:r w:rsidRPr="002E60A8">
        <w:rPr>
          <w:rFonts w:ascii="Times New Roman" w:hAnsi="Times New Roman"/>
          <w:lang w:val="en-GB"/>
        </w:rPr>
        <w:t xml:space="preserve">Emphasis on the voluntary nature to participate, can skip any questions that they do not wish to answer, and can stop participation or withdraw at any point during or after the performance of the activity/ project. </w:t>
      </w:r>
    </w:p>
    <w:p w14:paraId="221E32D8" w14:textId="77777777" w:rsidR="00B40B82" w:rsidRPr="002E60A8" w:rsidRDefault="00B40B82" w:rsidP="00B40B82">
      <w:pPr>
        <w:pStyle w:val="ListParagraph"/>
        <w:numPr>
          <w:ilvl w:val="0"/>
          <w:numId w:val="26"/>
        </w:numPr>
        <w:spacing w:after="160" w:line="259" w:lineRule="auto"/>
        <w:jc w:val="both"/>
        <w:rPr>
          <w:rFonts w:ascii="Times New Roman" w:hAnsi="Times New Roman"/>
          <w:lang w:val="en-GB"/>
        </w:rPr>
      </w:pPr>
      <w:r w:rsidRPr="002E60A8">
        <w:rPr>
          <w:rFonts w:ascii="Times New Roman" w:hAnsi="Times New Roman"/>
          <w:lang w:val="en-GB"/>
        </w:rPr>
        <w:t xml:space="preserve">Informing the </w:t>
      </w:r>
      <w:r>
        <w:rPr>
          <w:rFonts w:ascii="Times New Roman" w:hAnsi="Times New Roman"/>
          <w:lang w:val="en-GB"/>
        </w:rPr>
        <w:t>participants</w:t>
      </w:r>
      <w:r w:rsidRPr="002E60A8">
        <w:rPr>
          <w:rFonts w:ascii="Times New Roman" w:hAnsi="Times New Roman"/>
          <w:lang w:val="en-GB"/>
        </w:rPr>
        <w:t xml:space="preserve">, the extent to which their identities, and/or collected data, will be kept confidential. </w:t>
      </w:r>
    </w:p>
    <w:p w14:paraId="7B913B91" w14:textId="77777777" w:rsidR="00B40B82" w:rsidRPr="002E60A8" w:rsidRDefault="00B40B82" w:rsidP="00B40B82">
      <w:pPr>
        <w:pStyle w:val="ListParagraph"/>
        <w:rPr>
          <w:rFonts w:ascii="Times New Roman" w:hAnsi="Times New Roman"/>
          <w:lang w:val="en-GB"/>
        </w:rPr>
      </w:pPr>
    </w:p>
    <w:p w14:paraId="0DA7253C" w14:textId="77777777" w:rsidR="00B40B82" w:rsidRPr="002E60A8" w:rsidRDefault="00B40B82" w:rsidP="00B40B82">
      <w:pPr>
        <w:pStyle w:val="ListParagraph"/>
        <w:rPr>
          <w:rFonts w:ascii="Times New Roman" w:hAnsi="Times New Roman"/>
          <w:lang w:val="en-GB"/>
        </w:rPr>
      </w:pPr>
      <w:r w:rsidRPr="002E60A8">
        <w:rPr>
          <w:rFonts w:ascii="Times New Roman" w:hAnsi="Times New Roman"/>
          <w:lang w:val="en-GB"/>
        </w:rPr>
        <w:t xml:space="preserve"> </w:t>
      </w:r>
    </w:p>
    <w:p w14:paraId="604C3680" w14:textId="77777777" w:rsidR="00B40B82" w:rsidRPr="002E60A8" w:rsidRDefault="00B40B82" w:rsidP="00B40B82">
      <w:pPr>
        <w:jc w:val="both"/>
        <w:rPr>
          <w:rFonts w:ascii="Times New Roman" w:hAnsi="Times New Roman"/>
          <w:lang w:val="en-GB"/>
        </w:rPr>
      </w:pPr>
      <w:r w:rsidRPr="002E60A8">
        <w:rPr>
          <w:rFonts w:ascii="Times New Roman" w:hAnsi="Times New Roman"/>
          <w:i/>
          <w:lang w:val="en-GB"/>
        </w:rPr>
        <w:t xml:space="preserve">Credit is given to the respective institutions for supplementing key information and content for this guidance document: </w:t>
      </w:r>
      <w:r w:rsidRPr="002E60A8">
        <w:rPr>
          <w:rFonts w:ascii="Times New Roman" w:hAnsi="Times New Roman"/>
          <w:b/>
          <w:lang w:val="en-GB"/>
        </w:rPr>
        <w:t xml:space="preserve">University of Texas at Austin, University of Texas at El Paso, Baylor University, Iowa State University, &amp; </w:t>
      </w:r>
      <w:proofErr w:type="spellStart"/>
      <w:r w:rsidRPr="002E60A8">
        <w:rPr>
          <w:rFonts w:ascii="Times New Roman" w:hAnsi="Times New Roman"/>
          <w:b/>
          <w:lang w:val="en-GB"/>
        </w:rPr>
        <w:t>Northwestern</w:t>
      </w:r>
      <w:proofErr w:type="spellEnd"/>
      <w:r w:rsidRPr="002E60A8">
        <w:rPr>
          <w:rFonts w:ascii="Times New Roman" w:hAnsi="Times New Roman"/>
          <w:b/>
          <w:lang w:val="en-GB"/>
        </w:rPr>
        <w:t xml:space="preserve"> University</w:t>
      </w:r>
    </w:p>
    <w:p w14:paraId="331C1E7A" w14:textId="77777777" w:rsidR="000B7EB7" w:rsidRPr="00FB3951" w:rsidRDefault="000B7EB7" w:rsidP="00B40B82">
      <w:pPr>
        <w:pStyle w:val="NoSpacing"/>
        <w:jc w:val="both"/>
      </w:pPr>
    </w:p>
    <w:sectPr w:rsidR="000B7EB7" w:rsidRPr="00FB3951" w:rsidSect="00B40B82">
      <w:footerReference w:type="default" r:id="rId9"/>
      <w:pgSz w:w="12240" w:h="15840"/>
      <w:pgMar w:top="1440" w:right="1440" w:bottom="1440" w:left="144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0A6A" w14:textId="77777777" w:rsidR="00057757" w:rsidRDefault="00057757" w:rsidP="00D72DE6">
      <w:r>
        <w:separator/>
      </w:r>
    </w:p>
  </w:endnote>
  <w:endnote w:type="continuationSeparator" w:id="0">
    <w:p w14:paraId="7EC780C1" w14:textId="77777777" w:rsidR="00057757" w:rsidRDefault="00057757"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F01C" w14:textId="6DCD6AEF" w:rsidR="00C633EB" w:rsidRDefault="00C633EB">
    <w:pPr>
      <w:pStyle w:val="Footer"/>
    </w:pPr>
    <w:r>
      <w:t xml:space="preserve">TCU </w:t>
    </w:r>
    <w:r w:rsidR="00B40B82">
      <w:t>7</w:t>
    </w:r>
    <w:r>
      <w:t>.202</w:t>
    </w:r>
    <w:r w:rsidR="00B40B82">
      <w:t>3</w:t>
    </w:r>
  </w:p>
  <w:p w14:paraId="73254A8B" w14:textId="77777777" w:rsidR="00C633EB" w:rsidRPr="00C72819" w:rsidRDefault="00C633E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F67D" w14:textId="77777777" w:rsidR="00057757" w:rsidRDefault="00057757" w:rsidP="00D72DE6">
      <w:r>
        <w:separator/>
      </w:r>
    </w:p>
  </w:footnote>
  <w:footnote w:type="continuationSeparator" w:id="0">
    <w:p w14:paraId="6DD323E9" w14:textId="77777777" w:rsidR="00057757" w:rsidRDefault="00057757"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A7A"/>
    <w:multiLevelType w:val="hybridMultilevel"/>
    <w:tmpl w:val="541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EF112F"/>
    <w:multiLevelType w:val="hybridMultilevel"/>
    <w:tmpl w:val="B8D08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35D76"/>
    <w:multiLevelType w:val="hybridMultilevel"/>
    <w:tmpl w:val="868ABC92"/>
    <w:lvl w:ilvl="0" w:tplc="04090001">
      <w:start w:val="1"/>
      <w:numFmt w:val="bullet"/>
      <w:lvlText w:val=""/>
      <w:lvlJc w:val="left"/>
      <w:pPr>
        <w:ind w:left="720" w:hanging="360"/>
      </w:pPr>
      <w:rPr>
        <w:rFonts w:ascii="Symbol" w:hAnsi="Symbol" w:hint="default"/>
      </w:rPr>
    </w:lvl>
    <w:lvl w:ilvl="1" w:tplc="A042AAF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DE0952"/>
    <w:multiLevelType w:val="hybridMultilevel"/>
    <w:tmpl w:val="65F8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83830"/>
    <w:multiLevelType w:val="hybridMultilevel"/>
    <w:tmpl w:val="8804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071C2"/>
    <w:multiLevelType w:val="hybridMultilevel"/>
    <w:tmpl w:val="F468C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ED1078"/>
    <w:multiLevelType w:val="hybridMultilevel"/>
    <w:tmpl w:val="FF8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15821"/>
    <w:multiLevelType w:val="hybridMultilevel"/>
    <w:tmpl w:val="3F30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5099E"/>
    <w:multiLevelType w:val="hybridMultilevel"/>
    <w:tmpl w:val="497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0296E"/>
    <w:multiLevelType w:val="hybridMultilevel"/>
    <w:tmpl w:val="23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F0BA1"/>
    <w:multiLevelType w:val="hybridMultilevel"/>
    <w:tmpl w:val="A0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4D70FB"/>
    <w:multiLevelType w:val="hybridMultilevel"/>
    <w:tmpl w:val="46548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A6A2161"/>
    <w:multiLevelType w:val="hybridMultilevel"/>
    <w:tmpl w:val="8A1E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52C85"/>
    <w:multiLevelType w:val="hybridMultilevel"/>
    <w:tmpl w:val="5AF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6443E"/>
    <w:multiLevelType w:val="hybridMultilevel"/>
    <w:tmpl w:val="642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279E8"/>
    <w:multiLevelType w:val="hybridMultilevel"/>
    <w:tmpl w:val="17D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6146"/>
    <w:multiLevelType w:val="hybridMultilevel"/>
    <w:tmpl w:val="1D8C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53BE5"/>
    <w:multiLevelType w:val="hybridMultilevel"/>
    <w:tmpl w:val="2314F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1"/>
  </w:num>
  <w:num w:numId="4">
    <w:abstractNumId w:val="25"/>
  </w:num>
  <w:num w:numId="5">
    <w:abstractNumId w:val="5"/>
  </w:num>
  <w:num w:numId="6">
    <w:abstractNumId w:val="16"/>
  </w:num>
  <w:num w:numId="7">
    <w:abstractNumId w:val="14"/>
  </w:num>
  <w:num w:numId="8">
    <w:abstractNumId w:val="21"/>
  </w:num>
  <w:num w:numId="9">
    <w:abstractNumId w:val="15"/>
  </w:num>
  <w:num w:numId="10">
    <w:abstractNumId w:val="4"/>
  </w:num>
  <w:num w:numId="11">
    <w:abstractNumId w:val="9"/>
  </w:num>
  <w:num w:numId="12">
    <w:abstractNumId w:val="3"/>
  </w:num>
  <w:num w:numId="13">
    <w:abstractNumId w:val="17"/>
  </w:num>
  <w:num w:numId="14">
    <w:abstractNumId w:val="19"/>
  </w:num>
  <w:num w:numId="15">
    <w:abstractNumId w:val="12"/>
  </w:num>
  <w:num w:numId="16">
    <w:abstractNumId w:val="22"/>
  </w:num>
  <w:num w:numId="17">
    <w:abstractNumId w:val="13"/>
  </w:num>
  <w:num w:numId="18">
    <w:abstractNumId w:val="8"/>
  </w:num>
  <w:num w:numId="19">
    <w:abstractNumId w:val="0"/>
  </w:num>
  <w:num w:numId="20">
    <w:abstractNumId w:val="2"/>
  </w:num>
  <w:num w:numId="21">
    <w:abstractNumId w:val="7"/>
  </w:num>
  <w:num w:numId="22">
    <w:abstractNumId w:val="6"/>
  </w:num>
  <w:num w:numId="23">
    <w:abstractNumId w:val="10"/>
  </w:num>
  <w:num w:numId="24">
    <w:abstractNumId w:val="23"/>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tDAyNrU0MDYxsTRQ0lEKTi0uzszPAykwNKoFAJd48QMtAAAA"/>
  </w:docVars>
  <w:rsids>
    <w:rsidRoot w:val="004E727F"/>
    <w:rsid w:val="0000185B"/>
    <w:rsid w:val="00006C67"/>
    <w:rsid w:val="000154A2"/>
    <w:rsid w:val="00023AFB"/>
    <w:rsid w:val="00023EE1"/>
    <w:rsid w:val="00036C9B"/>
    <w:rsid w:val="0004394E"/>
    <w:rsid w:val="000469D3"/>
    <w:rsid w:val="00057757"/>
    <w:rsid w:val="00076E72"/>
    <w:rsid w:val="00077A34"/>
    <w:rsid w:val="0009369F"/>
    <w:rsid w:val="000A41FC"/>
    <w:rsid w:val="000B2377"/>
    <w:rsid w:val="000B66A8"/>
    <w:rsid w:val="000B7EB7"/>
    <w:rsid w:val="000C028B"/>
    <w:rsid w:val="000C4528"/>
    <w:rsid w:val="000D26C3"/>
    <w:rsid w:val="000D3AD8"/>
    <w:rsid w:val="000E3751"/>
    <w:rsid w:val="0010197F"/>
    <w:rsid w:val="00105ABD"/>
    <w:rsid w:val="00121B53"/>
    <w:rsid w:val="00131D7A"/>
    <w:rsid w:val="00132E73"/>
    <w:rsid w:val="001422F4"/>
    <w:rsid w:val="00142E64"/>
    <w:rsid w:val="00147297"/>
    <w:rsid w:val="0016190A"/>
    <w:rsid w:val="00162A24"/>
    <w:rsid w:val="00163921"/>
    <w:rsid w:val="00167BF1"/>
    <w:rsid w:val="0017365A"/>
    <w:rsid w:val="00173CE1"/>
    <w:rsid w:val="00173F97"/>
    <w:rsid w:val="00174ED6"/>
    <w:rsid w:val="001756B5"/>
    <w:rsid w:val="00175F12"/>
    <w:rsid w:val="0017766E"/>
    <w:rsid w:val="00187283"/>
    <w:rsid w:val="00190071"/>
    <w:rsid w:val="00197F59"/>
    <w:rsid w:val="001A057C"/>
    <w:rsid w:val="001A1A95"/>
    <w:rsid w:val="001B2E12"/>
    <w:rsid w:val="001B7B11"/>
    <w:rsid w:val="001C3DCE"/>
    <w:rsid w:val="001D135A"/>
    <w:rsid w:val="001D468A"/>
    <w:rsid w:val="001D6D01"/>
    <w:rsid w:val="001D722D"/>
    <w:rsid w:val="001E65B9"/>
    <w:rsid w:val="00202C26"/>
    <w:rsid w:val="00213767"/>
    <w:rsid w:val="00215561"/>
    <w:rsid w:val="00221556"/>
    <w:rsid w:val="00224A82"/>
    <w:rsid w:val="00224DE3"/>
    <w:rsid w:val="00242C33"/>
    <w:rsid w:val="002456E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153A"/>
    <w:rsid w:val="002E2EBE"/>
    <w:rsid w:val="002E6758"/>
    <w:rsid w:val="002E798B"/>
    <w:rsid w:val="00304593"/>
    <w:rsid w:val="003052D2"/>
    <w:rsid w:val="00314322"/>
    <w:rsid w:val="0032020D"/>
    <w:rsid w:val="00323B93"/>
    <w:rsid w:val="00323D3F"/>
    <w:rsid w:val="00332898"/>
    <w:rsid w:val="0033379F"/>
    <w:rsid w:val="00336473"/>
    <w:rsid w:val="00354CB4"/>
    <w:rsid w:val="00357503"/>
    <w:rsid w:val="003645EB"/>
    <w:rsid w:val="00367C31"/>
    <w:rsid w:val="003702E5"/>
    <w:rsid w:val="003709CF"/>
    <w:rsid w:val="003810A6"/>
    <w:rsid w:val="00383B84"/>
    <w:rsid w:val="003840D6"/>
    <w:rsid w:val="0039364C"/>
    <w:rsid w:val="003B387F"/>
    <w:rsid w:val="003C0E36"/>
    <w:rsid w:val="003C12BE"/>
    <w:rsid w:val="003C22C5"/>
    <w:rsid w:val="003C7A54"/>
    <w:rsid w:val="003D1121"/>
    <w:rsid w:val="003D19A2"/>
    <w:rsid w:val="003D47AD"/>
    <w:rsid w:val="003D7247"/>
    <w:rsid w:val="003D78B6"/>
    <w:rsid w:val="003F0360"/>
    <w:rsid w:val="003F5A20"/>
    <w:rsid w:val="00404C3A"/>
    <w:rsid w:val="00405350"/>
    <w:rsid w:val="00414704"/>
    <w:rsid w:val="00424C60"/>
    <w:rsid w:val="00431A29"/>
    <w:rsid w:val="00445ECA"/>
    <w:rsid w:val="00465E72"/>
    <w:rsid w:val="00467800"/>
    <w:rsid w:val="00473C9A"/>
    <w:rsid w:val="004759C7"/>
    <w:rsid w:val="00482C5B"/>
    <w:rsid w:val="00484218"/>
    <w:rsid w:val="004A6C6E"/>
    <w:rsid w:val="004B0527"/>
    <w:rsid w:val="004B3ED5"/>
    <w:rsid w:val="004C488D"/>
    <w:rsid w:val="004C7BE0"/>
    <w:rsid w:val="004D12F8"/>
    <w:rsid w:val="004D1C92"/>
    <w:rsid w:val="004E2050"/>
    <w:rsid w:val="004E3EC8"/>
    <w:rsid w:val="004E727F"/>
    <w:rsid w:val="004F2C5D"/>
    <w:rsid w:val="004F778F"/>
    <w:rsid w:val="00504C32"/>
    <w:rsid w:val="0051597B"/>
    <w:rsid w:val="00523AEC"/>
    <w:rsid w:val="0053206B"/>
    <w:rsid w:val="00542365"/>
    <w:rsid w:val="00546F9D"/>
    <w:rsid w:val="00553F99"/>
    <w:rsid w:val="00554D24"/>
    <w:rsid w:val="00555EE7"/>
    <w:rsid w:val="00564FF5"/>
    <w:rsid w:val="0058103F"/>
    <w:rsid w:val="005967EA"/>
    <w:rsid w:val="005A1C0F"/>
    <w:rsid w:val="005A2B0B"/>
    <w:rsid w:val="005A7212"/>
    <w:rsid w:val="005A7EF1"/>
    <w:rsid w:val="005B278B"/>
    <w:rsid w:val="005C0D91"/>
    <w:rsid w:val="005C5EB0"/>
    <w:rsid w:val="005D2B91"/>
    <w:rsid w:val="005D41A6"/>
    <w:rsid w:val="005E3F5B"/>
    <w:rsid w:val="005E60A5"/>
    <w:rsid w:val="005E7C6D"/>
    <w:rsid w:val="005E7C9D"/>
    <w:rsid w:val="005F07CF"/>
    <w:rsid w:val="0060683E"/>
    <w:rsid w:val="006075F5"/>
    <w:rsid w:val="006207E2"/>
    <w:rsid w:val="0063319D"/>
    <w:rsid w:val="00643431"/>
    <w:rsid w:val="00643B3A"/>
    <w:rsid w:val="00644C22"/>
    <w:rsid w:val="0065667E"/>
    <w:rsid w:val="00657AEC"/>
    <w:rsid w:val="00661BBF"/>
    <w:rsid w:val="00680727"/>
    <w:rsid w:val="00686461"/>
    <w:rsid w:val="0069151E"/>
    <w:rsid w:val="006A2459"/>
    <w:rsid w:val="006A6CBB"/>
    <w:rsid w:val="006B27F1"/>
    <w:rsid w:val="006C7F80"/>
    <w:rsid w:val="006D2CB5"/>
    <w:rsid w:val="006D7A4B"/>
    <w:rsid w:val="006E0531"/>
    <w:rsid w:val="006E0A2B"/>
    <w:rsid w:val="006E2507"/>
    <w:rsid w:val="006E546C"/>
    <w:rsid w:val="006E752C"/>
    <w:rsid w:val="006F29C6"/>
    <w:rsid w:val="006F4AFF"/>
    <w:rsid w:val="00704383"/>
    <w:rsid w:val="007075D6"/>
    <w:rsid w:val="007107AD"/>
    <w:rsid w:val="00714F11"/>
    <w:rsid w:val="00726492"/>
    <w:rsid w:val="00731DD0"/>
    <w:rsid w:val="007336DA"/>
    <w:rsid w:val="00733D6F"/>
    <w:rsid w:val="007467A7"/>
    <w:rsid w:val="007524CE"/>
    <w:rsid w:val="0075277D"/>
    <w:rsid w:val="00753C8C"/>
    <w:rsid w:val="0075405B"/>
    <w:rsid w:val="00757750"/>
    <w:rsid w:val="00760DFD"/>
    <w:rsid w:val="007679AC"/>
    <w:rsid w:val="00773753"/>
    <w:rsid w:val="007811EB"/>
    <w:rsid w:val="007932EE"/>
    <w:rsid w:val="00797FD9"/>
    <w:rsid w:val="007B38AF"/>
    <w:rsid w:val="007B437A"/>
    <w:rsid w:val="007B7363"/>
    <w:rsid w:val="007C17E9"/>
    <w:rsid w:val="007D03B2"/>
    <w:rsid w:val="007D03DA"/>
    <w:rsid w:val="007D434A"/>
    <w:rsid w:val="007D4FB3"/>
    <w:rsid w:val="007D57FE"/>
    <w:rsid w:val="007D5B5D"/>
    <w:rsid w:val="007E398A"/>
    <w:rsid w:val="007E734A"/>
    <w:rsid w:val="007E7BEC"/>
    <w:rsid w:val="007F3538"/>
    <w:rsid w:val="007F4D0D"/>
    <w:rsid w:val="007F7AF9"/>
    <w:rsid w:val="00814A96"/>
    <w:rsid w:val="00817D80"/>
    <w:rsid w:val="00825D5B"/>
    <w:rsid w:val="00835F23"/>
    <w:rsid w:val="00840BF8"/>
    <w:rsid w:val="00842B40"/>
    <w:rsid w:val="00844275"/>
    <w:rsid w:val="0085431F"/>
    <w:rsid w:val="00856A26"/>
    <w:rsid w:val="00864998"/>
    <w:rsid w:val="0086612F"/>
    <w:rsid w:val="008765C8"/>
    <w:rsid w:val="0087779C"/>
    <w:rsid w:val="00885573"/>
    <w:rsid w:val="0089093C"/>
    <w:rsid w:val="008946F4"/>
    <w:rsid w:val="008A2B60"/>
    <w:rsid w:val="008A3125"/>
    <w:rsid w:val="008A5283"/>
    <w:rsid w:val="008B0FEB"/>
    <w:rsid w:val="008B19F0"/>
    <w:rsid w:val="008B24DC"/>
    <w:rsid w:val="008B3A74"/>
    <w:rsid w:val="008C3F43"/>
    <w:rsid w:val="008D1299"/>
    <w:rsid w:val="008D5DBB"/>
    <w:rsid w:val="008D7C0D"/>
    <w:rsid w:val="008E04A3"/>
    <w:rsid w:val="008E57D2"/>
    <w:rsid w:val="008F69BA"/>
    <w:rsid w:val="00905272"/>
    <w:rsid w:val="00913E87"/>
    <w:rsid w:val="0092359E"/>
    <w:rsid w:val="00926FF2"/>
    <w:rsid w:val="00934C7A"/>
    <w:rsid w:val="00950451"/>
    <w:rsid w:val="009506AA"/>
    <w:rsid w:val="00956638"/>
    <w:rsid w:val="00976C08"/>
    <w:rsid w:val="0098016A"/>
    <w:rsid w:val="009944D3"/>
    <w:rsid w:val="009A4A81"/>
    <w:rsid w:val="009B05F1"/>
    <w:rsid w:val="009B7361"/>
    <w:rsid w:val="009B79E3"/>
    <w:rsid w:val="009D348E"/>
    <w:rsid w:val="009D7972"/>
    <w:rsid w:val="009E1CB6"/>
    <w:rsid w:val="009E2390"/>
    <w:rsid w:val="009E55DC"/>
    <w:rsid w:val="009F0DD3"/>
    <w:rsid w:val="009F7F6C"/>
    <w:rsid w:val="00A021A2"/>
    <w:rsid w:val="00A03800"/>
    <w:rsid w:val="00A1050D"/>
    <w:rsid w:val="00A112AC"/>
    <w:rsid w:val="00A1277C"/>
    <w:rsid w:val="00A24E15"/>
    <w:rsid w:val="00A33207"/>
    <w:rsid w:val="00A33FA7"/>
    <w:rsid w:val="00A42202"/>
    <w:rsid w:val="00A44DD5"/>
    <w:rsid w:val="00A47055"/>
    <w:rsid w:val="00A50C00"/>
    <w:rsid w:val="00A521CF"/>
    <w:rsid w:val="00A55BFF"/>
    <w:rsid w:val="00A71840"/>
    <w:rsid w:val="00A72455"/>
    <w:rsid w:val="00A77444"/>
    <w:rsid w:val="00A879AB"/>
    <w:rsid w:val="00A91F60"/>
    <w:rsid w:val="00A95F9A"/>
    <w:rsid w:val="00AB2A0B"/>
    <w:rsid w:val="00AC0C1C"/>
    <w:rsid w:val="00AC5A5F"/>
    <w:rsid w:val="00AD507D"/>
    <w:rsid w:val="00AE3140"/>
    <w:rsid w:val="00AE5AED"/>
    <w:rsid w:val="00AE6519"/>
    <w:rsid w:val="00AF6504"/>
    <w:rsid w:val="00B04EF8"/>
    <w:rsid w:val="00B202D6"/>
    <w:rsid w:val="00B20962"/>
    <w:rsid w:val="00B21B67"/>
    <w:rsid w:val="00B3079F"/>
    <w:rsid w:val="00B333DC"/>
    <w:rsid w:val="00B34717"/>
    <w:rsid w:val="00B35823"/>
    <w:rsid w:val="00B36768"/>
    <w:rsid w:val="00B40B82"/>
    <w:rsid w:val="00B4171B"/>
    <w:rsid w:val="00B4179C"/>
    <w:rsid w:val="00B43608"/>
    <w:rsid w:val="00B512C6"/>
    <w:rsid w:val="00B518C1"/>
    <w:rsid w:val="00B54AAB"/>
    <w:rsid w:val="00B64014"/>
    <w:rsid w:val="00B64C91"/>
    <w:rsid w:val="00B674C0"/>
    <w:rsid w:val="00B722BD"/>
    <w:rsid w:val="00B8254D"/>
    <w:rsid w:val="00B82EA8"/>
    <w:rsid w:val="00B93A8B"/>
    <w:rsid w:val="00BA0755"/>
    <w:rsid w:val="00BB4AAB"/>
    <w:rsid w:val="00BC0EA4"/>
    <w:rsid w:val="00BC56C5"/>
    <w:rsid w:val="00BD2E6C"/>
    <w:rsid w:val="00BD66E3"/>
    <w:rsid w:val="00BD7538"/>
    <w:rsid w:val="00BE1150"/>
    <w:rsid w:val="00BE37A9"/>
    <w:rsid w:val="00BF418F"/>
    <w:rsid w:val="00C170C6"/>
    <w:rsid w:val="00C27D8D"/>
    <w:rsid w:val="00C501A9"/>
    <w:rsid w:val="00C51BDC"/>
    <w:rsid w:val="00C57E13"/>
    <w:rsid w:val="00C604B2"/>
    <w:rsid w:val="00C633EB"/>
    <w:rsid w:val="00C65105"/>
    <w:rsid w:val="00C71E60"/>
    <w:rsid w:val="00C72819"/>
    <w:rsid w:val="00C735F5"/>
    <w:rsid w:val="00C74475"/>
    <w:rsid w:val="00C77FE7"/>
    <w:rsid w:val="00C814A6"/>
    <w:rsid w:val="00C85F91"/>
    <w:rsid w:val="00C8663A"/>
    <w:rsid w:val="00C87252"/>
    <w:rsid w:val="00C918D9"/>
    <w:rsid w:val="00C92A87"/>
    <w:rsid w:val="00C94D6F"/>
    <w:rsid w:val="00C95F05"/>
    <w:rsid w:val="00CA010D"/>
    <w:rsid w:val="00CA044E"/>
    <w:rsid w:val="00CA77A9"/>
    <w:rsid w:val="00CB2B36"/>
    <w:rsid w:val="00CC2F95"/>
    <w:rsid w:val="00CC3889"/>
    <w:rsid w:val="00CC458B"/>
    <w:rsid w:val="00CC473E"/>
    <w:rsid w:val="00CC7BD9"/>
    <w:rsid w:val="00CE03B3"/>
    <w:rsid w:val="00CE4D5D"/>
    <w:rsid w:val="00CF1929"/>
    <w:rsid w:val="00CF2A07"/>
    <w:rsid w:val="00CF7ABF"/>
    <w:rsid w:val="00D0512E"/>
    <w:rsid w:val="00D074FE"/>
    <w:rsid w:val="00D10F91"/>
    <w:rsid w:val="00D1516A"/>
    <w:rsid w:val="00D2367C"/>
    <w:rsid w:val="00D26776"/>
    <w:rsid w:val="00D32957"/>
    <w:rsid w:val="00D36926"/>
    <w:rsid w:val="00D44909"/>
    <w:rsid w:val="00D47B34"/>
    <w:rsid w:val="00D72DE6"/>
    <w:rsid w:val="00D73A1D"/>
    <w:rsid w:val="00D76300"/>
    <w:rsid w:val="00D90591"/>
    <w:rsid w:val="00D9467A"/>
    <w:rsid w:val="00D94C91"/>
    <w:rsid w:val="00D957AD"/>
    <w:rsid w:val="00D96E61"/>
    <w:rsid w:val="00DB663D"/>
    <w:rsid w:val="00DD4062"/>
    <w:rsid w:val="00DD75F0"/>
    <w:rsid w:val="00DE2C50"/>
    <w:rsid w:val="00DE477D"/>
    <w:rsid w:val="00DE63C1"/>
    <w:rsid w:val="00DF3D3A"/>
    <w:rsid w:val="00E13314"/>
    <w:rsid w:val="00E169D2"/>
    <w:rsid w:val="00E20E09"/>
    <w:rsid w:val="00E362A4"/>
    <w:rsid w:val="00E44D62"/>
    <w:rsid w:val="00E532BC"/>
    <w:rsid w:val="00E622BB"/>
    <w:rsid w:val="00E644F4"/>
    <w:rsid w:val="00E660A3"/>
    <w:rsid w:val="00E77E85"/>
    <w:rsid w:val="00E83930"/>
    <w:rsid w:val="00E8424C"/>
    <w:rsid w:val="00E844AF"/>
    <w:rsid w:val="00E874E3"/>
    <w:rsid w:val="00E9231D"/>
    <w:rsid w:val="00E94CF8"/>
    <w:rsid w:val="00E964C2"/>
    <w:rsid w:val="00EA60FE"/>
    <w:rsid w:val="00EA626F"/>
    <w:rsid w:val="00EB1CCA"/>
    <w:rsid w:val="00EB6D6E"/>
    <w:rsid w:val="00EC666B"/>
    <w:rsid w:val="00EC6C25"/>
    <w:rsid w:val="00EE772F"/>
    <w:rsid w:val="00EF0209"/>
    <w:rsid w:val="00EF4597"/>
    <w:rsid w:val="00F013C1"/>
    <w:rsid w:val="00F02557"/>
    <w:rsid w:val="00F078AD"/>
    <w:rsid w:val="00F121C6"/>
    <w:rsid w:val="00F14AD1"/>
    <w:rsid w:val="00F14B79"/>
    <w:rsid w:val="00F17329"/>
    <w:rsid w:val="00F27851"/>
    <w:rsid w:val="00F27E26"/>
    <w:rsid w:val="00F305FE"/>
    <w:rsid w:val="00F40AD6"/>
    <w:rsid w:val="00F4425C"/>
    <w:rsid w:val="00F56F7A"/>
    <w:rsid w:val="00F634F5"/>
    <w:rsid w:val="00F73B15"/>
    <w:rsid w:val="00F76633"/>
    <w:rsid w:val="00F76F55"/>
    <w:rsid w:val="00F83081"/>
    <w:rsid w:val="00F85F66"/>
    <w:rsid w:val="00FB02FD"/>
    <w:rsid w:val="00FB2D92"/>
    <w:rsid w:val="00FB3951"/>
    <w:rsid w:val="00FB5A51"/>
    <w:rsid w:val="00FC09B5"/>
    <w:rsid w:val="00FC2C2C"/>
    <w:rsid w:val="00FD0F55"/>
    <w:rsid w:val="00FD61F3"/>
    <w:rsid w:val="00FD68C7"/>
    <w:rsid w:val="00FE0438"/>
    <w:rsid w:val="00FE2D94"/>
    <w:rsid w:val="00FE7C0D"/>
    <w:rsid w:val="00FF1BAB"/>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1D9"/>
  <w15:docId w15:val="{BF9B7F7B-769B-49A1-8782-F96F097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E752C"/>
    <w:rPr>
      <w:color w:val="954F72" w:themeColor="followedHyperlink"/>
      <w:u w:val="single"/>
    </w:rPr>
  </w:style>
  <w:style w:type="character" w:customStyle="1" w:styleId="UnresolvedMention1">
    <w:name w:val="Unresolved Mention1"/>
    <w:basedOn w:val="DefaultParagraphFont"/>
    <w:uiPriority w:val="99"/>
    <w:semiHidden/>
    <w:unhideWhenUsed/>
    <w:rsid w:val="00C72819"/>
    <w:rPr>
      <w:color w:val="605E5C"/>
      <w:shd w:val="clear" w:color="auto" w:fill="E1DFDD"/>
    </w:rPr>
  </w:style>
  <w:style w:type="character" w:styleId="CommentReference">
    <w:name w:val="annotation reference"/>
    <w:basedOn w:val="DefaultParagraphFont"/>
    <w:uiPriority w:val="99"/>
    <w:semiHidden/>
    <w:unhideWhenUsed/>
    <w:rsid w:val="00482C5B"/>
    <w:rPr>
      <w:sz w:val="16"/>
      <w:szCs w:val="16"/>
    </w:rPr>
  </w:style>
  <w:style w:type="paragraph" w:styleId="CommentText">
    <w:name w:val="annotation text"/>
    <w:basedOn w:val="Normal"/>
    <w:link w:val="CommentTextChar"/>
    <w:uiPriority w:val="99"/>
    <w:semiHidden/>
    <w:unhideWhenUsed/>
    <w:rsid w:val="00482C5B"/>
    <w:rPr>
      <w:sz w:val="20"/>
      <w:szCs w:val="20"/>
    </w:rPr>
  </w:style>
  <w:style w:type="character" w:customStyle="1" w:styleId="CommentTextChar">
    <w:name w:val="Comment Text Char"/>
    <w:basedOn w:val="DefaultParagraphFont"/>
    <w:link w:val="CommentText"/>
    <w:uiPriority w:val="99"/>
    <w:semiHidden/>
    <w:rsid w:val="00482C5B"/>
  </w:style>
  <w:style w:type="paragraph" w:styleId="CommentSubject">
    <w:name w:val="annotation subject"/>
    <w:basedOn w:val="CommentText"/>
    <w:next w:val="CommentText"/>
    <w:link w:val="CommentSubjectChar"/>
    <w:uiPriority w:val="99"/>
    <w:semiHidden/>
    <w:unhideWhenUsed/>
    <w:rsid w:val="00482C5B"/>
    <w:rPr>
      <w:b/>
      <w:bCs/>
    </w:rPr>
  </w:style>
  <w:style w:type="character" w:customStyle="1" w:styleId="CommentSubjectChar">
    <w:name w:val="Comment Subject Char"/>
    <w:basedOn w:val="CommentTextChar"/>
    <w:link w:val="CommentSubject"/>
    <w:uiPriority w:val="99"/>
    <w:semiHidden/>
    <w:rsid w:val="0048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5B10-D72A-4D11-B0E4-DF28BE46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13720</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George, Weldon</cp:lastModifiedBy>
  <cp:revision>2</cp:revision>
  <cp:lastPrinted>2008-12-17T20:28:00Z</cp:lastPrinted>
  <dcterms:created xsi:type="dcterms:W3CDTF">2023-07-28T14:38:00Z</dcterms:created>
  <dcterms:modified xsi:type="dcterms:W3CDTF">2023-07-28T14:38:00Z</dcterms:modified>
</cp:coreProperties>
</file>