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0D3E9" w14:textId="31BB9DC9" w:rsidR="003709CF" w:rsidRDefault="00A42202" w:rsidP="00D32957">
      <w:pPr>
        <w:pStyle w:val="NoSpacing"/>
        <w:jc w:val="center"/>
        <w:rPr>
          <w:b/>
          <w:sz w:val="32"/>
          <w:szCs w:val="32"/>
        </w:rPr>
      </w:pPr>
      <w:r>
        <w:rPr>
          <w:b/>
          <w:noProof/>
          <w:sz w:val="32"/>
          <w:szCs w:val="32"/>
          <w:lang w:val="en-GB" w:eastAsia="en-GB"/>
        </w:rPr>
        <w:drawing>
          <wp:anchor distT="0" distB="0" distL="114300" distR="114300" simplePos="0" relativeHeight="251658240" behindDoc="1" locked="0" layoutInCell="1" allowOverlap="1" wp14:anchorId="58CA0682" wp14:editId="5968A169">
            <wp:simplePos x="0" y="0"/>
            <wp:positionH relativeFrom="column">
              <wp:posOffset>2295525</wp:posOffset>
            </wp:positionH>
            <wp:positionV relativeFrom="paragraph">
              <wp:posOffset>-742950</wp:posOffset>
            </wp:positionV>
            <wp:extent cx="1304925" cy="666750"/>
            <wp:effectExtent l="0" t="0" r="0" b="0"/>
            <wp:wrapNone/>
            <wp:docPr id="3" name="Picture 1" descr="TCUwOutline2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UwOutline26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32957">
        <w:rPr>
          <w:b/>
          <w:sz w:val="32"/>
          <w:szCs w:val="32"/>
        </w:rPr>
        <w:t>Guidelines</w:t>
      </w:r>
      <w:r w:rsidR="003D7773">
        <w:rPr>
          <w:b/>
          <w:sz w:val="32"/>
          <w:szCs w:val="32"/>
        </w:rPr>
        <w:t xml:space="preserve"> for Secondary Data Analysis of Existing Data Sets</w:t>
      </w:r>
      <w:r w:rsidR="00D32957">
        <w:rPr>
          <w:b/>
          <w:sz w:val="32"/>
          <w:szCs w:val="32"/>
        </w:rPr>
        <w:t xml:space="preserve">  </w:t>
      </w:r>
      <w:r w:rsidR="00844275">
        <w:rPr>
          <w:b/>
          <w:sz w:val="32"/>
          <w:szCs w:val="32"/>
        </w:rPr>
        <w:t xml:space="preserve"> </w:t>
      </w:r>
    </w:p>
    <w:p w14:paraId="6AD0F367" w14:textId="644666F0" w:rsidR="003D7773" w:rsidRPr="00CE3D04" w:rsidRDefault="00CC2F95" w:rsidP="003D7773">
      <w:pPr>
        <w:pStyle w:val="NoSpacing"/>
        <w:rPr>
          <w:b/>
          <w:sz w:val="32"/>
          <w:szCs w:val="32"/>
        </w:rPr>
      </w:pPr>
      <w:r>
        <w:rPr>
          <w:b/>
          <w:noProof/>
          <w:sz w:val="32"/>
          <w:szCs w:val="32"/>
        </w:rPr>
        <w:tab/>
      </w:r>
      <w:r>
        <w:rPr>
          <w:b/>
          <w:noProof/>
          <w:sz w:val="32"/>
          <w:szCs w:val="32"/>
        </w:rPr>
        <w:tab/>
      </w:r>
      <w:r>
        <w:rPr>
          <w:b/>
          <w:noProof/>
          <w:sz w:val="32"/>
          <w:szCs w:val="32"/>
        </w:rPr>
        <w:tab/>
      </w:r>
      <w:r w:rsidR="00A42202">
        <w:rPr>
          <w:b/>
          <w:noProof/>
          <w:sz w:val="32"/>
          <w:szCs w:val="32"/>
          <w:lang w:val="en-GB" w:eastAsia="en-GB"/>
        </w:rPr>
        <mc:AlternateContent>
          <mc:Choice Requires="wps">
            <w:drawing>
              <wp:anchor distT="0" distB="0" distL="114300" distR="114300" simplePos="0" relativeHeight="251657216" behindDoc="0" locked="0" layoutInCell="1" allowOverlap="1" wp14:anchorId="1E052079" wp14:editId="45BB87F1">
                <wp:simplePos x="0" y="0"/>
                <wp:positionH relativeFrom="column">
                  <wp:posOffset>9525</wp:posOffset>
                </wp:positionH>
                <wp:positionV relativeFrom="paragraph">
                  <wp:posOffset>42545</wp:posOffset>
                </wp:positionV>
                <wp:extent cx="6115050" cy="0"/>
                <wp:effectExtent l="9525" t="10795" r="9525" b="177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14BEDA" id="_x0000_t32" coordsize="21600,21600" o:spt="32" o:oned="t" path="m,l21600,21600e" filled="f">
                <v:path arrowok="t" fillok="f" o:connecttype="none"/>
                <o:lock v:ext="edit" shapetype="t"/>
              </v:shapetype>
              <v:shape id="AutoShape 2" o:spid="_x0000_s1026" type="#_x0000_t32" style="position:absolute;margin-left:.75pt;margin-top:3.35pt;width:48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" strokeweight="1.5pt"/>
            </w:pict>
          </mc:Fallback>
        </mc:AlternateContent>
      </w:r>
    </w:p>
    <w:p w14:paraId="6EA57A13" w14:textId="0C2AD1B9" w:rsidR="00051360" w:rsidRPr="00051360" w:rsidRDefault="00051360" w:rsidP="00051360">
      <w:pPr>
        <w:pStyle w:val="NoSpacing"/>
        <w:rPr>
          <w:rFonts w:ascii="Times New Roman" w:hAnsi="Times New Roman"/>
        </w:rPr>
      </w:pPr>
      <w:r w:rsidRPr="00051360">
        <w:rPr>
          <w:rFonts w:ascii="Times New Roman" w:hAnsi="Times New Roman"/>
        </w:rPr>
        <w:t>The Texas Christian University Institutional Review Board (IRB) recognizes that some research projects involving existing data sets and archives may not meeting the definition of “human subjects” research requiring IRB review; some may meet definitions of research that is exempt from the federal regulations at 45 CFR part 46; and some may require IRB review. This document is intended to provide guidance on IRB policies and procedures and to reduce burdens associated with IRB review for investigators whose research involves only the analysis of existing data sets and archives. The IRB acknowledges the</w:t>
      </w:r>
    </w:p>
    <w:p w14:paraId="5963CF70" w14:textId="02CE66BA" w:rsidR="00051360" w:rsidRPr="00051360" w:rsidRDefault="00051360" w:rsidP="00051360">
      <w:pPr>
        <w:pStyle w:val="NoSpacing"/>
        <w:rPr>
          <w:rFonts w:ascii="Times New Roman" w:hAnsi="Times New Roman"/>
        </w:rPr>
      </w:pPr>
      <w:r w:rsidRPr="00051360">
        <w:rPr>
          <w:rFonts w:ascii="Times New Roman" w:hAnsi="Times New Roman"/>
        </w:rPr>
        <w:t>guidance document prepared by the University of Chicago Social and Behavioral Sciences IRB as the model for this Guidance.</w:t>
      </w:r>
    </w:p>
    <w:p w14:paraId="4347A71E" w14:textId="77777777" w:rsidR="00051360" w:rsidRPr="00051360" w:rsidRDefault="00051360" w:rsidP="00051360">
      <w:pPr>
        <w:pStyle w:val="NoSpacing"/>
        <w:rPr>
          <w:rFonts w:ascii="Times New Roman" w:hAnsi="Times New Roman"/>
        </w:rPr>
      </w:pPr>
    </w:p>
    <w:p w14:paraId="59696007" w14:textId="105D7529" w:rsidR="00051360" w:rsidRPr="00051360" w:rsidRDefault="00051360" w:rsidP="00051360">
      <w:pPr>
        <w:pStyle w:val="NoSpacing"/>
        <w:rPr>
          <w:rFonts w:ascii="Times New Roman" w:hAnsi="Times New Roman"/>
        </w:rPr>
      </w:pPr>
      <w:r w:rsidRPr="00051360">
        <w:rPr>
          <w:rFonts w:ascii="Times New Roman" w:hAnsi="Times New Roman"/>
        </w:rPr>
        <w:t>Although projects that only involve secondary data analysis do not involve interactions or interventions with humans, they may still require IRB review, because the definition of “human subject” at 45 CFR 46.102(f) includes living individuals about whom an investigator obtains identifiable private information</w:t>
      </w:r>
    </w:p>
    <w:p w14:paraId="1749D2E6" w14:textId="6C645433" w:rsidR="003D7773" w:rsidRPr="00051360" w:rsidRDefault="00051360" w:rsidP="00051360">
      <w:pPr>
        <w:pStyle w:val="NoSpacing"/>
        <w:rPr>
          <w:rFonts w:ascii="Times New Roman" w:hAnsi="Times New Roman"/>
        </w:rPr>
      </w:pPr>
      <w:r w:rsidRPr="00051360">
        <w:rPr>
          <w:rFonts w:ascii="Times New Roman" w:hAnsi="Times New Roman"/>
        </w:rPr>
        <w:t>for research purposes.</w:t>
      </w:r>
    </w:p>
    <w:p w14:paraId="5FFF0C1B" w14:textId="56805115" w:rsidR="00051360" w:rsidRPr="00051360" w:rsidRDefault="00051360" w:rsidP="00051360">
      <w:pPr>
        <w:pStyle w:val="NoSpacing"/>
        <w:rPr>
          <w:rFonts w:ascii="Times New Roman" w:hAnsi="Times New Roman"/>
        </w:rPr>
      </w:pPr>
    </w:p>
    <w:p w14:paraId="13B37457" w14:textId="6FD51B21" w:rsidR="00051360" w:rsidRDefault="00051360" w:rsidP="00051360">
      <w:pPr>
        <w:pStyle w:val="NoSpacing"/>
        <w:rPr>
          <w:rFonts w:ascii="Times New Roman" w:hAnsi="Times New Roman"/>
          <w:b/>
          <w:sz w:val="30"/>
          <w:szCs w:val="30"/>
        </w:rPr>
      </w:pPr>
      <w:r w:rsidRPr="00051360">
        <w:rPr>
          <w:rFonts w:ascii="Times New Roman" w:hAnsi="Times New Roman"/>
          <w:b/>
          <w:sz w:val="30"/>
          <w:szCs w:val="30"/>
        </w:rPr>
        <w:t xml:space="preserve">When does secondary use of existing data not require IRB review? </w:t>
      </w:r>
    </w:p>
    <w:p w14:paraId="5D7EB919" w14:textId="618FD483" w:rsidR="00051360" w:rsidRDefault="00051360" w:rsidP="00051360">
      <w:pPr>
        <w:pStyle w:val="NoSpacing"/>
        <w:rPr>
          <w:rFonts w:ascii="Times New Roman" w:hAnsi="Times New Roman"/>
          <w:b/>
          <w:sz w:val="30"/>
          <w:szCs w:val="30"/>
        </w:rPr>
      </w:pPr>
    </w:p>
    <w:p w14:paraId="65D89D06" w14:textId="23F3689F" w:rsidR="00051360" w:rsidRDefault="00051360" w:rsidP="00051360">
      <w:pPr>
        <w:pStyle w:val="NoSpacing"/>
        <w:rPr>
          <w:rFonts w:ascii="Times New Roman" w:hAnsi="Times New Roman"/>
        </w:rPr>
      </w:pPr>
      <w:r w:rsidRPr="00051360">
        <w:rPr>
          <w:rFonts w:ascii="Times New Roman" w:hAnsi="Times New Roman"/>
        </w:rPr>
        <w:t>In general, the secondary analysis of existing data does not require IRB review when it does not fall within the regulatory definition or research involving human subjects.</w:t>
      </w:r>
    </w:p>
    <w:p w14:paraId="4C015A40" w14:textId="6AF035D2" w:rsidR="00051360" w:rsidRDefault="00051360" w:rsidP="00051360">
      <w:pPr>
        <w:pStyle w:val="NoSpacing"/>
        <w:rPr>
          <w:rFonts w:ascii="Times New Roman" w:hAnsi="Times New Roman"/>
        </w:rPr>
      </w:pPr>
    </w:p>
    <w:p w14:paraId="1C4D9AB3" w14:textId="21897FE4" w:rsidR="00051360" w:rsidRPr="00051360" w:rsidRDefault="00051360" w:rsidP="00051360">
      <w:pPr>
        <w:pStyle w:val="NoSpacing"/>
        <w:rPr>
          <w:rFonts w:ascii="Times New Roman" w:hAnsi="Times New Roman"/>
          <w:b/>
          <w:sz w:val="24"/>
          <w:szCs w:val="24"/>
        </w:rPr>
      </w:pPr>
      <w:bookmarkStart w:id="0" w:name="_Hlk137645571"/>
      <w:r w:rsidRPr="00051360">
        <w:rPr>
          <w:rFonts w:ascii="Times New Roman" w:hAnsi="Times New Roman"/>
          <w:b/>
          <w:sz w:val="24"/>
          <w:szCs w:val="24"/>
        </w:rPr>
        <w:t>A. Public Use Data Sets</w:t>
      </w:r>
    </w:p>
    <w:bookmarkEnd w:id="0"/>
    <w:p w14:paraId="7D05F3A1" w14:textId="32FC1E4D" w:rsidR="00051360" w:rsidRDefault="00051360">
      <w:pPr>
        <w:pStyle w:val="NoSpacing"/>
        <w:rPr>
          <w:rFonts w:ascii="Times New Roman" w:hAnsi="Times New Roman"/>
          <w:b/>
          <w:sz w:val="30"/>
          <w:szCs w:val="30"/>
        </w:rPr>
      </w:pPr>
    </w:p>
    <w:p w14:paraId="2EB68C3E" w14:textId="456867A2" w:rsidR="004626EC" w:rsidRPr="004626EC" w:rsidRDefault="00051360" w:rsidP="004626EC">
      <w:pPr>
        <w:pStyle w:val="NoSpacing"/>
        <w:rPr>
          <w:rFonts w:ascii="Times New Roman" w:hAnsi="Times New Roman"/>
        </w:rPr>
      </w:pPr>
      <w:r>
        <w:rPr>
          <w:rFonts w:ascii="Times New Roman" w:hAnsi="Times New Roman"/>
        </w:rPr>
        <w:t xml:space="preserve">Public use data sets are prepared with the intent of making them available for the public. The data available to the public are not individually identifiable and therefore analysis would not </w:t>
      </w:r>
      <w:r w:rsidR="00114EE9">
        <w:rPr>
          <w:rFonts w:ascii="Times New Roman" w:hAnsi="Times New Roman"/>
        </w:rPr>
        <w:t>involve</w:t>
      </w:r>
      <w:r>
        <w:rPr>
          <w:rFonts w:ascii="Times New Roman" w:hAnsi="Times New Roman"/>
        </w:rPr>
        <w:t xml:space="preserve"> human subjects. </w:t>
      </w:r>
      <w:r w:rsidR="00587BDC">
        <w:rPr>
          <w:rFonts w:ascii="Times New Roman" w:hAnsi="Times New Roman"/>
        </w:rPr>
        <w:t xml:space="preserve">The IRB recognizes that the analysis </w:t>
      </w:r>
      <w:r w:rsidR="00114EE9">
        <w:rPr>
          <w:rFonts w:ascii="Times New Roman" w:hAnsi="Times New Roman"/>
        </w:rPr>
        <w:t>of de</w:t>
      </w:r>
      <w:r w:rsidR="00587BDC">
        <w:rPr>
          <w:rFonts w:ascii="Times New Roman" w:hAnsi="Times New Roman"/>
        </w:rPr>
        <w:t>-</w:t>
      </w:r>
      <w:r w:rsidR="00114EE9">
        <w:rPr>
          <w:rFonts w:ascii="Times New Roman" w:hAnsi="Times New Roman"/>
        </w:rPr>
        <w:t>identified,</w:t>
      </w:r>
      <w:r w:rsidR="00587BDC">
        <w:rPr>
          <w:rFonts w:ascii="Times New Roman" w:hAnsi="Times New Roman"/>
        </w:rPr>
        <w:t xml:space="preserve"> </w:t>
      </w:r>
      <w:r w:rsidR="004E1C01">
        <w:rPr>
          <w:rFonts w:ascii="Times New Roman" w:hAnsi="Times New Roman"/>
        </w:rPr>
        <w:t>publicly</w:t>
      </w:r>
      <w:r w:rsidR="00587BDC">
        <w:rPr>
          <w:rFonts w:ascii="Times New Roman" w:hAnsi="Times New Roman"/>
        </w:rPr>
        <w:t xml:space="preserve"> </w:t>
      </w:r>
      <w:r w:rsidR="004E1C01">
        <w:rPr>
          <w:rFonts w:ascii="Times New Roman" w:hAnsi="Times New Roman"/>
        </w:rPr>
        <w:t>available</w:t>
      </w:r>
      <w:r w:rsidR="00587BDC">
        <w:rPr>
          <w:rFonts w:ascii="Times New Roman" w:hAnsi="Times New Roman"/>
        </w:rPr>
        <w:t xml:space="preserve"> data does not </w:t>
      </w:r>
      <w:r w:rsidR="004E1C01">
        <w:rPr>
          <w:rFonts w:ascii="Times New Roman" w:hAnsi="Times New Roman"/>
        </w:rPr>
        <w:t>constitute</w:t>
      </w:r>
      <w:r w:rsidR="00587BDC">
        <w:rPr>
          <w:rFonts w:ascii="Times New Roman" w:hAnsi="Times New Roman"/>
        </w:rPr>
        <w:t xml:space="preserve"> human su</w:t>
      </w:r>
      <w:r w:rsidR="004E1C01">
        <w:rPr>
          <w:rFonts w:ascii="Times New Roman" w:hAnsi="Times New Roman"/>
        </w:rPr>
        <w:t>b</w:t>
      </w:r>
      <w:r w:rsidR="00587BDC">
        <w:rPr>
          <w:rFonts w:ascii="Times New Roman" w:hAnsi="Times New Roman"/>
        </w:rPr>
        <w:t xml:space="preserve">ject research as defined </w:t>
      </w:r>
      <w:r w:rsidR="00114EE9">
        <w:rPr>
          <w:rFonts w:ascii="Times New Roman" w:hAnsi="Times New Roman"/>
        </w:rPr>
        <w:t>at 45</w:t>
      </w:r>
      <w:r w:rsidR="00587BDC">
        <w:rPr>
          <w:rFonts w:ascii="Times New Roman" w:hAnsi="Times New Roman"/>
        </w:rPr>
        <w:t xml:space="preserve">CFR46.102 </w:t>
      </w:r>
      <w:r w:rsidR="004E1C01">
        <w:rPr>
          <w:rFonts w:ascii="Times New Roman" w:hAnsi="Times New Roman"/>
        </w:rPr>
        <w:t xml:space="preserve">and that it does not require IRB review. </w:t>
      </w:r>
      <w:r w:rsidR="004626EC" w:rsidRPr="004626EC">
        <w:rPr>
          <w:rFonts w:ascii="Times New Roman" w:hAnsi="Times New Roman"/>
        </w:rPr>
        <w:t>An IRB review may be required for a research study that relies</w:t>
      </w:r>
      <w:r w:rsidR="004626EC">
        <w:rPr>
          <w:rFonts w:ascii="Times New Roman" w:hAnsi="Times New Roman"/>
        </w:rPr>
        <w:t xml:space="preserve"> </w:t>
      </w:r>
      <w:r w:rsidR="004626EC" w:rsidRPr="004626EC">
        <w:rPr>
          <w:rFonts w:ascii="Times New Roman" w:hAnsi="Times New Roman"/>
        </w:rPr>
        <w:t>exclusively on secondary use of anonymous information BUT records data</w:t>
      </w:r>
      <w:r w:rsidR="004626EC">
        <w:rPr>
          <w:rFonts w:ascii="Times New Roman" w:hAnsi="Times New Roman"/>
        </w:rPr>
        <w:t xml:space="preserve"> </w:t>
      </w:r>
      <w:r w:rsidR="004626EC" w:rsidRPr="004626EC">
        <w:rPr>
          <w:rFonts w:ascii="Times New Roman" w:hAnsi="Times New Roman"/>
        </w:rPr>
        <w:t>linkage or disseminates results in such a way that it generates identifiable</w:t>
      </w:r>
    </w:p>
    <w:p w14:paraId="0D234CF6" w14:textId="515C967B" w:rsidR="00051360" w:rsidRDefault="004626EC" w:rsidP="004626EC">
      <w:pPr>
        <w:pStyle w:val="NoSpacing"/>
        <w:rPr>
          <w:rFonts w:ascii="Times New Roman" w:hAnsi="Times New Roman"/>
        </w:rPr>
      </w:pPr>
      <w:r w:rsidRPr="004626EC">
        <w:rPr>
          <w:rFonts w:ascii="Times New Roman" w:hAnsi="Times New Roman"/>
        </w:rPr>
        <w:t>information.</w:t>
      </w:r>
      <w:r w:rsidR="004E1C01">
        <w:rPr>
          <w:rFonts w:ascii="Times New Roman" w:hAnsi="Times New Roman"/>
        </w:rPr>
        <w:t xml:space="preserve"> </w:t>
      </w:r>
    </w:p>
    <w:p w14:paraId="6805C459" w14:textId="404A781A" w:rsidR="004626EC" w:rsidRDefault="004626EC" w:rsidP="004626EC">
      <w:pPr>
        <w:pStyle w:val="NoSpacing"/>
        <w:rPr>
          <w:rFonts w:ascii="Times New Roman" w:hAnsi="Times New Roman"/>
        </w:rPr>
      </w:pPr>
    </w:p>
    <w:p w14:paraId="03EE5B42" w14:textId="7CA22D2E" w:rsidR="004626EC" w:rsidRDefault="004626EC" w:rsidP="004626EC">
      <w:pPr>
        <w:pStyle w:val="NoSpacing"/>
        <w:rPr>
          <w:rFonts w:ascii="Times New Roman" w:hAnsi="Times New Roman"/>
        </w:rPr>
      </w:pPr>
      <w:r>
        <w:rPr>
          <w:rFonts w:ascii="Times New Roman" w:hAnsi="Times New Roman"/>
        </w:rPr>
        <w:t xml:space="preserve">In addition to being identifiable, </w:t>
      </w:r>
      <w:r w:rsidR="00E27640">
        <w:rPr>
          <w:rFonts w:ascii="Times New Roman" w:hAnsi="Times New Roman"/>
        </w:rPr>
        <w:t xml:space="preserve">existing data must include “private information” in order to constitute research involving human subjects. Private information is defined as information which has been provided for specific purposes by an individual and which the individual can reasonably expect will not be made public (e.g., a medical or school record). For example, a study involving only analysis </w:t>
      </w:r>
      <w:r w:rsidR="00266887">
        <w:rPr>
          <w:rFonts w:ascii="Times New Roman" w:hAnsi="Times New Roman"/>
        </w:rPr>
        <w:t>o</w:t>
      </w:r>
      <w:r w:rsidR="00E27640">
        <w:rPr>
          <w:rFonts w:ascii="Times New Roman" w:hAnsi="Times New Roman"/>
        </w:rPr>
        <w:t xml:space="preserve">f the published salaries and benefits of university presidents would not need IRB review since this information is not private, </w:t>
      </w:r>
      <w:bookmarkStart w:id="1" w:name="_Hlk137647966"/>
      <w:r w:rsidR="00E27640">
        <w:rPr>
          <w:rFonts w:ascii="Times New Roman" w:hAnsi="Times New Roman"/>
        </w:rPr>
        <w:t>however this should still be submitted in Cayuse for a</w:t>
      </w:r>
      <w:r w:rsidR="00402BF8">
        <w:rPr>
          <w:rFonts w:ascii="Times New Roman" w:hAnsi="Times New Roman"/>
        </w:rPr>
        <w:t xml:space="preserve"> not</w:t>
      </w:r>
      <w:r w:rsidR="00E27640">
        <w:rPr>
          <w:rFonts w:ascii="Times New Roman" w:hAnsi="Times New Roman"/>
        </w:rPr>
        <w:t xml:space="preserve"> human subjects determination letter.  </w:t>
      </w:r>
    </w:p>
    <w:bookmarkEnd w:id="1"/>
    <w:p w14:paraId="74AC2A0E" w14:textId="0BD64E1B" w:rsidR="00402BF8" w:rsidRDefault="00402BF8" w:rsidP="004626EC">
      <w:pPr>
        <w:pStyle w:val="NoSpacing"/>
        <w:rPr>
          <w:rFonts w:ascii="Times New Roman" w:hAnsi="Times New Roman"/>
        </w:rPr>
      </w:pPr>
    </w:p>
    <w:p w14:paraId="0E377A24" w14:textId="56D4A13E" w:rsidR="00402BF8" w:rsidRDefault="00402BF8" w:rsidP="00402BF8">
      <w:pPr>
        <w:pStyle w:val="NoSpacing"/>
        <w:rPr>
          <w:rFonts w:ascii="Times New Roman" w:hAnsi="Times New Roman"/>
          <w:b/>
          <w:sz w:val="24"/>
          <w:szCs w:val="24"/>
        </w:rPr>
      </w:pPr>
      <w:r>
        <w:rPr>
          <w:rFonts w:ascii="Times New Roman" w:hAnsi="Times New Roman"/>
          <w:b/>
          <w:sz w:val="24"/>
          <w:szCs w:val="24"/>
        </w:rPr>
        <w:t>B</w:t>
      </w:r>
      <w:r w:rsidRPr="00051360">
        <w:rPr>
          <w:rFonts w:ascii="Times New Roman" w:hAnsi="Times New Roman"/>
          <w:b/>
          <w:sz w:val="24"/>
          <w:szCs w:val="24"/>
        </w:rPr>
        <w:t xml:space="preserve">. </w:t>
      </w:r>
      <w:r>
        <w:rPr>
          <w:rFonts w:ascii="Times New Roman" w:hAnsi="Times New Roman"/>
          <w:b/>
          <w:sz w:val="24"/>
          <w:szCs w:val="24"/>
        </w:rPr>
        <w:t>De- Identified Data</w:t>
      </w:r>
    </w:p>
    <w:p w14:paraId="363AB5AB" w14:textId="0CD2F15F" w:rsidR="00402BF8" w:rsidRDefault="00402BF8" w:rsidP="00402BF8">
      <w:pPr>
        <w:pStyle w:val="NoSpacing"/>
        <w:rPr>
          <w:rFonts w:ascii="Times New Roman" w:hAnsi="Times New Roman"/>
          <w:b/>
          <w:sz w:val="24"/>
          <w:szCs w:val="24"/>
        </w:rPr>
      </w:pPr>
    </w:p>
    <w:p w14:paraId="78C6F93D" w14:textId="1F5FB370" w:rsidR="00A31CFC" w:rsidRPr="00A31CFC" w:rsidRDefault="00402BF8" w:rsidP="00A31CFC">
      <w:pPr>
        <w:pStyle w:val="NoSpacing"/>
        <w:rPr>
          <w:rFonts w:ascii="Times New Roman" w:hAnsi="Times New Roman"/>
          <w:sz w:val="24"/>
          <w:szCs w:val="24"/>
        </w:rPr>
      </w:pPr>
      <w:r>
        <w:rPr>
          <w:rFonts w:ascii="Times New Roman" w:hAnsi="Times New Roman"/>
          <w:sz w:val="24"/>
          <w:szCs w:val="24"/>
        </w:rPr>
        <w:t>If a dataset has been stripped of all identifying information and there is no way it could linked back to the subjects from whom it was originally collected (through a key to a coding system or by other means), its subsequent use by the Principal Investigator or by another researcher would not constitute human subject research</w:t>
      </w:r>
      <w:r w:rsidR="00A31CFC">
        <w:rPr>
          <w:rFonts w:ascii="Times New Roman" w:hAnsi="Times New Roman"/>
          <w:sz w:val="24"/>
          <w:szCs w:val="24"/>
        </w:rPr>
        <w:t>, since the data is no longer identifiable. “Identifiable” mean the identity of the subject is known or may be readily ascertained by the investigator or associated with the information. H</w:t>
      </w:r>
      <w:r w:rsidR="00A31CFC" w:rsidRPr="00A31CFC">
        <w:rPr>
          <w:rFonts w:ascii="Times New Roman" w:hAnsi="Times New Roman"/>
          <w:sz w:val="24"/>
          <w:szCs w:val="24"/>
        </w:rPr>
        <w:t xml:space="preserve">owever, this should still be submitted in Cayuse for a not human subjects determination letter.  </w:t>
      </w:r>
    </w:p>
    <w:p w14:paraId="2EB8E10F" w14:textId="3573942C" w:rsidR="00402BF8" w:rsidRDefault="00402BF8" w:rsidP="00402BF8">
      <w:pPr>
        <w:pStyle w:val="NoSpacing"/>
        <w:rPr>
          <w:rFonts w:ascii="Times New Roman" w:hAnsi="Times New Roman"/>
          <w:sz w:val="24"/>
          <w:szCs w:val="24"/>
        </w:rPr>
      </w:pPr>
    </w:p>
    <w:p w14:paraId="2E083693" w14:textId="3789AC79" w:rsidR="00A31CFC" w:rsidRDefault="00A31CFC" w:rsidP="00402BF8">
      <w:pPr>
        <w:pStyle w:val="NoSpacing"/>
        <w:rPr>
          <w:rFonts w:ascii="Times New Roman" w:hAnsi="Times New Roman"/>
          <w:sz w:val="24"/>
          <w:szCs w:val="24"/>
        </w:rPr>
      </w:pPr>
      <w:r w:rsidRPr="00F70716">
        <w:rPr>
          <w:rFonts w:ascii="Times New Roman" w:hAnsi="Times New Roman"/>
          <w:b/>
          <w:sz w:val="24"/>
          <w:szCs w:val="24"/>
        </w:rPr>
        <w:t>Example:</w:t>
      </w:r>
      <w:r>
        <w:rPr>
          <w:rFonts w:ascii="Times New Roman" w:hAnsi="Times New Roman"/>
          <w:sz w:val="24"/>
          <w:szCs w:val="24"/>
        </w:rPr>
        <w:t xml:space="preserve"> Many student-led research projects involve secondary data anal</w:t>
      </w:r>
      <w:r w:rsidR="00AE3115">
        <w:rPr>
          <w:rFonts w:ascii="Times New Roman" w:hAnsi="Times New Roman"/>
          <w:sz w:val="24"/>
          <w:szCs w:val="24"/>
        </w:rPr>
        <w:t>ysis of data that belongs to, or was initially collected by, their faculty advisor</w:t>
      </w:r>
      <w:r w:rsidR="008B7C6C">
        <w:rPr>
          <w:rFonts w:ascii="Times New Roman" w:hAnsi="Times New Roman"/>
          <w:sz w:val="24"/>
          <w:szCs w:val="24"/>
        </w:rPr>
        <w:t>/PI</w:t>
      </w:r>
      <w:r w:rsidR="00AE3115">
        <w:rPr>
          <w:rFonts w:ascii="Times New Roman" w:hAnsi="Times New Roman"/>
          <w:sz w:val="24"/>
          <w:szCs w:val="24"/>
        </w:rPr>
        <w:t xml:space="preserve"> or another investigator. If the student is provided with de-identified, non-coded data set, the use of the data does not constitute research with human subjects because there is no interaction with any individual and no identifiable</w:t>
      </w:r>
      <w:r w:rsidR="008B7C6C">
        <w:rPr>
          <w:rFonts w:ascii="Times New Roman" w:hAnsi="Times New Roman"/>
          <w:sz w:val="24"/>
          <w:szCs w:val="24"/>
        </w:rPr>
        <w:t xml:space="preserve"> </w:t>
      </w:r>
      <w:r w:rsidR="00AE3115">
        <w:rPr>
          <w:rFonts w:ascii="Times New Roman" w:hAnsi="Times New Roman"/>
          <w:sz w:val="24"/>
          <w:szCs w:val="24"/>
        </w:rPr>
        <w:t xml:space="preserve">private information will be used. </w:t>
      </w:r>
    </w:p>
    <w:p w14:paraId="37AA63B7" w14:textId="1EC04171" w:rsidR="008B7C6C" w:rsidRDefault="008B7C6C" w:rsidP="00402BF8">
      <w:pPr>
        <w:pStyle w:val="NoSpacing"/>
        <w:rPr>
          <w:rFonts w:ascii="Times New Roman" w:hAnsi="Times New Roman"/>
          <w:sz w:val="24"/>
          <w:szCs w:val="24"/>
        </w:rPr>
      </w:pPr>
    </w:p>
    <w:p w14:paraId="1E51200E" w14:textId="77777777" w:rsidR="003B1123" w:rsidRDefault="008B7C6C" w:rsidP="00402BF8">
      <w:pPr>
        <w:pStyle w:val="NoSpacing"/>
        <w:rPr>
          <w:rFonts w:ascii="Times New Roman" w:hAnsi="Times New Roman"/>
          <w:sz w:val="24"/>
          <w:szCs w:val="24"/>
        </w:rPr>
      </w:pPr>
      <w:r w:rsidRPr="003B1123">
        <w:rPr>
          <w:rFonts w:ascii="Times New Roman" w:hAnsi="Times New Roman"/>
          <w:b/>
          <w:sz w:val="24"/>
          <w:szCs w:val="24"/>
        </w:rPr>
        <w:t>Coded Data:</w:t>
      </w:r>
      <w:r>
        <w:rPr>
          <w:rFonts w:ascii="Times New Roman" w:hAnsi="Times New Roman"/>
          <w:sz w:val="24"/>
          <w:szCs w:val="24"/>
        </w:rPr>
        <w:t xml:space="preserve"> Secondary analysis of coded private information is not considered to be research involving human subject and would not require IRB review </w:t>
      </w:r>
      <w:r w:rsidRPr="000A2C10">
        <w:rPr>
          <w:rFonts w:ascii="Times New Roman" w:hAnsi="Times New Roman"/>
          <w:b/>
          <w:sz w:val="24"/>
          <w:szCs w:val="24"/>
        </w:rPr>
        <w:t xml:space="preserve">IF </w:t>
      </w:r>
      <w:r>
        <w:rPr>
          <w:rFonts w:ascii="Times New Roman" w:hAnsi="Times New Roman"/>
          <w:sz w:val="24"/>
          <w:szCs w:val="24"/>
        </w:rPr>
        <w:t>investigator(</w:t>
      </w:r>
      <w:r w:rsidR="003B1123">
        <w:rPr>
          <w:rFonts w:ascii="Times New Roman" w:hAnsi="Times New Roman"/>
          <w:sz w:val="24"/>
          <w:szCs w:val="24"/>
        </w:rPr>
        <w:t>s) cannot</w:t>
      </w:r>
      <w:r>
        <w:rPr>
          <w:rFonts w:ascii="Times New Roman" w:hAnsi="Times New Roman"/>
          <w:sz w:val="24"/>
          <w:szCs w:val="24"/>
        </w:rPr>
        <w:t xml:space="preserve"> readily ascertain the identify of the individuals to whom the coded private information pertains as a result of one of the following circumstances</w:t>
      </w:r>
      <w:r w:rsidR="003B1123">
        <w:rPr>
          <w:rFonts w:ascii="Times New Roman" w:hAnsi="Times New Roman"/>
          <w:sz w:val="24"/>
          <w:szCs w:val="24"/>
        </w:rPr>
        <w:t>:</w:t>
      </w:r>
    </w:p>
    <w:p w14:paraId="33C945BC" w14:textId="77777777" w:rsidR="003B1123" w:rsidRDefault="003B1123" w:rsidP="00402BF8">
      <w:pPr>
        <w:pStyle w:val="NoSpacing"/>
        <w:rPr>
          <w:rFonts w:ascii="Times New Roman" w:hAnsi="Times New Roman"/>
          <w:sz w:val="24"/>
          <w:szCs w:val="24"/>
        </w:rPr>
      </w:pPr>
    </w:p>
    <w:p w14:paraId="509B5D59" w14:textId="3E57FAB7" w:rsidR="008B7C6C" w:rsidRDefault="003B1123" w:rsidP="003B1123">
      <w:pPr>
        <w:pStyle w:val="NoSpacing"/>
        <w:numPr>
          <w:ilvl w:val="0"/>
          <w:numId w:val="22"/>
        </w:numPr>
        <w:rPr>
          <w:rFonts w:ascii="Times New Roman" w:hAnsi="Times New Roman"/>
          <w:sz w:val="24"/>
          <w:szCs w:val="24"/>
        </w:rPr>
      </w:pPr>
      <w:r>
        <w:rPr>
          <w:rFonts w:ascii="Times New Roman" w:hAnsi="Times New Roman"/>
          <w:sz w:val="24"/>
          <w:szCs w:val="24"/>
        </w:rPr>
        <w:t>The investigator and the holder of the key have entered in an agreement prohibiting the release of the key to the investigators under any circumstances</w:t>
      </w:r>
      <w:r w:rsidR="00B84AED">
        <w:rPr>
          <w:rFonts w:ascii="Times New Roman" w:hAnsi="Times New Roman"/>
          <w:sz w:val="24"/>
          <w:szCs w:val="24"/>
        </w:rPr>
        <w:t xml:space="preserve">, until the individuals are deceased (HHS regulations for human </w:t>
      </w:r>
      <w:proofErr w:type="gramStart"/>
      <w:r w:rsidR="00B84AED">
        <w:rPr>
          <w:rFonts w:ascii="Times New Roman" w:hAnsi="Times New Roman"/>
          <w:sz w:val="24"/>
          <w:szCs w:val="24"/>
        </w:rPr>
        <w:t>subjects</w:t>
      </w:r>
      <w:proofErr w:type="gramEnd"/>
      <w:r w:rsidR="00B84AED">
        <w:rPr>
          <w:rFonts w:ascii="Times New Roman" w:hAnsi="Times New Roman"/>
          <w:sz w:val="24"/>
          <w:szCs w:val="24"/>
        </w:rPr>
        <w:t xml:space="preserve"> research do not require the IRB review and </w:t>
      </w:r>
      <w:r w:rsidR="007B1487">
        <w:rPr>
          <w:rFonts w:ascii="Times New Roman" w:hAnsi="Times New Roman"/>
          <w:sz w:val="24"/>
          <w:szCs w:val="24"/>
        </w:rPr>
        <w:t>approve this agreement.)</w:t>
      </w:r>
    </w:p>
    <w:p w14:paraId="503A1E63" w14:textId="2896BE5C" w:rsidR="007B1487" w:rsidRDefault="007B1487" w:rsidP="003B1123">
      <w:pPr>
        <w:pStyle w:val="NoSpacing"/>
        <w:numPr>
          <w:ilvl w:val="0"/>
          <w:numId w:val="22"/>
        </w:numPr>
        <w:rPr>
          <w:rFonts w:ascii="Times New Roman" w:hAnsi="Times New Roman"/>
          <w:sz w:val="24"/>
          <w:szCs w:val="24"/>
        </w:rPr>
      </w:pPr>
      <w:r>
        <w:rPr>
          <w:rFonts w:ascii="Times New Roman" w:hAnsi="Times New Roman"/>
          <w:sz w:val="24"/>
          <w:szCs w:val="24"/>
        </w:rPr>
        <w:t>There are IRB approved written pol</w:t>
      </w:r>
      <w:r w:rsidR="00E83437">
        <w:rPr>
          <w:rFonts w:ascii="Times New Roman" w:hAnsi="Times New Roman"/>
          <w:sz w:val="24"/>
          <w:szCs w:val="24"/>
        </w:rPr>
        <w:t>i</w:t>
      </w:r>
      <w:r>
        <w:rPr>
          <w:rFonts w:ascii="Times New Roman" w:hAnsi="Times New Roman"/>
          <w:sz w:val="24"/>
          <w:szCs w:val="24"/>
        </w:rPr>
        <w:t xml:space="preserve">cies and operating procedures for a </w:t>
      </w:r>
      <w:r w:rsidR="00E83437">
        <w:rPr>
          <w:rFonts w:ascii="Times New Roman" w:hAnsi="Times New Roman"/>
          <w:sz w:val="24"/>
          <w:szCs w:val="24"/>
        </w:rPr>
        <w:t>repository</w:t>
      </w:r>
      <w:r>
        <w:rPr>
          <w:rFonts w:ascii="Times New Roman" w:hAnsi="Times New Roman"/>
          <w:sz w:val="24"/>
          <w:szCs w:val="24"/>
        </w:rPr>
        <w:t xml:space="preserve"> or data management center that prohibit the release of the key to the investigator under any </w:t>
      </w:r>
      <w:r w:rsidR="00E83437">
        <w:rPr>
          <w:rFonts w:ascii="Times New Roman" w:hAnsi="Times New Roman"/>
          <w:sz w:val="24"/>
          <w:szCs w:val="24"/>
        </w:rPr>
        <w:t>circumstances</w:t>
      </w:r>
      <w:r>
        <w:rPr>
          <w:rFonts w:ascii="Times New Roman" w:hAnsi="Times New Roman"/>
          <w:sz w:val="24"/>
          <w:szCs w:val="24"/>
        </w:rPr>
        <w:t xml:space="preserve">, until the </w:t>
      </w:r>
      <w:r w:rsidR="00E83437">
        <w:rPr>
          <w:rFonts w:ascii="Times New Roman" w:hAnsi="Times New Roman"/>
          <w:sz w:val="24"/>
          <w:szCs w:val="24"/>
        </w:rPr>
        <w:t>individuals are deceased; or</w:t>
      </w:r>
    </w:p>
    <w:p w14:paraId="26BFC188" w14:textId="2A730AE9" w:rsidR="00E83437" w:rsidRDefault="00E83437" w:rsidP="003B1123">
      <w:pPr>
        <w:pStyle w:val="NoSpacing"/>
        <w:numPr>
          <w:ilvl w:val="0"/>
          <w:numId w:val="22"/>
        </w:numPr>
        <w:rPr>
          <w:rFonts w:ascii="Times New Roman" w:hAnsi="Times New Roman"/>
          <w:sz w:val="24"/>
          <w:szCs w:val="24"/>
        </w:rPr>
      </w:pPr>
      <w:r>
        <w:rPr>
          <w:rFonts w:ascii="Times New Roman" w:hAnsi="Times New Roman"/>
          <w:sz w:val="24"/>
          <w:szCs w:val="24"/>
        </w:rPr>
        <w:t xml:space="preserve">There are other legal requirements prohibiting the release of the key to investigators, until the individuals are deceased. </w:t>
      </w:r>
    </w:p>
    <w:p w14:paraId="1A76654A" w14:textId="77777777" w:rsidR="00E83437" w:rsidRDefault="00E83437" w:rsidP="00E83437">
      <w:pPr>
        <w:pStyle w:val="NoSpacing"/>
        <w:ind w:left="780"/>
        <w:rPr>
          <w:rFonts w:ascii="Times New Roman" w:hAnsi="Times New Roman"/>
          <w:sz w:val="24"/>
          <w:szCs w:val="24"/>
        </w:rPr>
      </w:pPr>
    </w:p>
    <w:p w14:paraId="4EA9F9CF" w14:textId="3238070B" w:rsidR="00E83437" w:rsidRPr="00402BF8" w:rsidRDefault="00E83437" w:rsidP="00E83437">
      <w:pPr>
        <w:pStyle w:val="NoSpacing"/>
        <w:rPr>
          <w:rFonts w:ascii="Times New Roman" w:hAnsi="Times New Roman"/>
          <w:sz w:val="24"/>
          <w:szCs w:val="24"/>
        </w:rPr>
      </w:pPr>
      <w:r w:rsidRPr="00E83437">
        <w:rPr>
          <w:rFonts w:ascii="Times New Roman" w:hAnsi="Times New Roman"/>
          <w:sz w:val="24"/>
          <w:szCs w:val="24"/>
        </w:rPr>
        <w:t>For more information on when analysis of coded data is or is not human</w:t>
      </w:r>
      <w:r>
        <w:rPr>
          <w:rFonts w:ascii="Times New Roman" w:hAnsi="Times New Roman"/>
          <w:sz w:val="24"/>
          <w:szCs w:val="24"/>
        </w:rPr>
        <w:t xml:space="preserve"> </w:t>
      </w:r>
      <w:r w:rsidRPr="00E83437">
        <w:rPr>
          <w:rFonts w:ascii="Times New Roman" w:hAnsi="Times New Roman"/>
          <w:sz w:val="24"/>
          <w:szCs w:val="24"/>
        </w:rPr>
        <w:t xml:space="preserve">subjects research, see the </w:t>
      </w:r>
      <w:r w:rsidRPr="00E83437">
        <w:rPr>
          <w:rFonts w:ascii="Times New Roman" w:hAnsi="Times New Roman"/>
          <w:b/>
          <w:bCs/>
          <w:sz w:val="24"/>
          <w:szCs w:val="24"/>
        </w:rPr>
        <w:t>HHS Office for Human Research Protections</w:t>
      </w:r>
      <w:r>
        <w:rPr>
          <w:rFonts w:ascii="Times New Roman" w:hAnsi="Times New Roman"/>
          <w:sz w:val="24"/>
          <w:szCs w:val="24"/>
        </w:rPr>
        <w:t xml:space="preserve"> </w:t>
      </w:r>
      <w:r w:rsidRPr="00E83437">
        <w:rPr>
          <w:rFonts w:ascii="Times New Roman" w:hAnsi="Times New Roman"/>
          <w:b/>
          <w:bCs/>
          <w:sz w:val="24"/>
          <w:szCs w:val="24"/>
        </w:rPr>
        <w:t>Guidance on Research Involving Coded Private Information or Biological</w:t>
      </w:r>
      <w:r>
        <w:rPr>
          <w:rFonts w:ascii="Times New Roman" w:hAnsi="Times New Roman"/>
          <w:sz w:val="24"/>
          <w:szCs w:val="24"/>
        </w:rPr>
        <w:t xml:space="preserve"> </w:t>
      </w:r>
      <w:r w:rsidRPr="00E83437">
        <w:rPr>
          <w:rFonts w:ascii="Times New Roman" w:hAnsi="Times New Roman"/>
          <w:b/>
          <w:bCs/>
          <w:sz w:val="24"/>
          <w:szCs w:val="24"/>
        </w:rPr>
        <w:t xml:space="preserve">Specimens </w:t>
      </w:r>
      <w:r w:rsidRPr="00E83437">
        <w:rPr>
          <w:rFonts w:ascii="Times New Roman" w:hAnsi="Times New Roman"/>
          <w:sz w:val="24"/>
          <w:szCs w:val="24"/>
        </w:rPr>
        <w:t>at http://www.hhs.gov/ohrp/policy/cdebiol.html</w:t>
      </w:r>
    </w:p>
    <w:p w14:paraId="24EC0044" w14:textId="77777777" w:rsidR="00402BF8" w:rsidRPr="00051360" w:rsidRDefault="00402BF8" w:rsidP="00402BF8">
      <w:pPr>
        <w:pStyle w:val="NoSpacing"/>
        <w:rPr>
          <w:rFonts w:ascii="Times New Roman" w:hAnsi="Times New Roman"/>
          <w:b/>
          <w:sz w:val="24"/>
          <w:szCs w:val="24"/>
        </w:rPr>
      </w:pPr>
    </w:p>
    <w:p w14:paraId="377F0E64" w14:textId="39C96A3C" w:rsidR="00402BF8" w:rsidRDefault="00E83437" w:rsidP="004626EC">
      <w:pPr>
        <w:pStyle w:val="NoSpacing"/>
        <w:rPr>
          <w:rFonts w:ascii="Times New Roman" w:hAnsi="Times New Roman"/>
        </w:rPr>
      </w:pPr>
      <w:r w:rsidRPr="00F70716">
        <w:rPr>
          <w:rFonts w:ascii="Times New Roman" w:hAnsi="Times New Roman"/>
          <w:b/>
          <w:i/>
          <w:sz w:val="24"/>
          <w:szCs w:val="24"/>
        </w:rPr>
        <w:t>Note:</w:t>
      </w:r>
      <w:r w:rsidRPr="00E83437">
        <w:rPr>
          <w:rFonts w:ascii="Times New Roman" w:hAnsi="Times New Roman"/>
          <w:b/>
          <w:i/>
        </w:rPr>
        <w:t xml:space="preserve"> </w:t>
      </w:r>
      <w:r>
        <w:rPr>
          <w:rFonts w:ascii="Times New Roman" w:hAnsi="Times New Roman"/>
        </w:rPr>
        <w:t xml:space="preserve">If a student is analyzing coded data from a faculty mentor/PI who retains a key, this would be human subjects research, because the faculty mentor/PI is considered an investigator on the student’s protocol, and can readily ascertain the identity of the subjects since he/she holds the key to the coded data. If the student’s work fits within the scope of the initial protocol from which the dataset originates, the faculty advisor (or investigator who holds the dataset) may wish to consider adding the study and their work to the original protocol by means of an amendment/modification submission rather than having the student submit a new application of review. </w:t>
      </w:r>
    </w:p>
    <w:p w14:paraId="7EFD5523" w14:textId="57B81BA5" w:rsidR="00F70716" w:rsidRDefault="00F70716" w:rsidP="004626EC">
      <w:pPr>
        <w:pStyle w:val="NoSpacing"/>
        <w:rPr>
          <w:rFonts w:ascii="Times New Roman" w:hAnsi="Times New Roman"/>
        </w:rPr>
      </w:pPr>
    </w:p>
    <w:p w14:paraId="4D097390" w14:textId="77C93EFF" w:rsidR="00F70716" w:rsidRDefault="00F70716" w:rsidP="004626EC">
      <w:pPr>
        <w:pStyle w:val="NoSpacing"/>
        <w:rPr>
          <w:rFonts w:ascii="Times New Roman" w:hAnsi="Times New Roman"/>
          <w:sz w:val="24"/>
          <w:szCs w:val="24"/>
        </w:rPr>
      </w:pPr>
      <w:r w:rsidRPr="00F70716">
        <w:rPr>
          <w:rFonts w:ascii="Times New Roman" w:hAnsi="Times New Roman"/>
          <w:b/>
          <w:sz w:val="24"/>
          <w:szCs w:val="24"/>
        </w:rPr>
        <w:t>Example</w:t>
      </w:r>
      <w:r w:rsidRPr="00F70716">
        <w:rPr>
          <w:rFonts w:ascii="Times New Roman" w:hAnsi="Times New Roman"/>
          <w:sz w:val="24"/>
          <w:szCs w:val="24"/>
        </w:rPr>
        <w:t xml:space="preserve">: </w:t>
      </w:r>
      <w:r>
        <w:rPr>
          <w:rFonts w:ascii="Times New Roman" w:hAnsi="Times New Roman"/>
          <w:sz w:val="24"/>
          <w:szCs w:val="24"/>
        </w:rPr>
        <w:t>Researcher B plans to examine the relationships between attention deficit hyperactivity disorder (ADHD), oppositional defiance disorder, and teen drug abuse using data collected by Agencies I, II, III that work with “at risk” youth. The data will be coded and the agencies have entered into an agreement prohibiting release of the key to the researcher that could connect the data with identifiers. The use of the data would not constitute research with human subject.</w:t>
      </w:r>
    </w:p>
    <w:p w14:paraId="7E82A861" w14:textId="7582993B" w:rsidR="00F70716" w:rsidRDefault="00F70716" w:rsidP="004626EC">
      <w:pPr>
        <w:pStyle w:val="NoSpacing"/>
        <w:rPr>
          <w:rFonts w:ascii="Times New Roman" w:hAnsi="Times New Roman"/>
          <w:sz w:val="24"/>
          <w:szCs w:val="24"/>
        </w:rPr>
      </w:pPr>
    </w:p>
    <w:p w14:paraId="047C1142" w14:textId="4B67E248" w:rsidR="00F70716" w:rsidRDefault="00F70716" w:rsidP="004626EC">
      <w:pPr>
        <w:pStyle w:val="NoSpacing"/>
        <w:rPr>
          <w:rFonts w:ascii="Times New Roman" w:hAnsi="Times New Roman"/>
          <w:sz w:val="24"/>
          <w:szCs w:val="24"/>
        </w:rPr>
      </w:pPr>
      <w:r>
        <w:rPr>
          <w:rFonts w:ascii="Times New Roman" w:hAnsi="Times New Roman"/>
          <w:sz w:val="24"/>
          <w:szCs w:val="24"/>
        </w:rPr>
        <w:t xml:space="preserve">If the IRB determines that the project does not constitute human subjects research, the IRB will notify the investigator via Cayuse. If the IRB determines that project does involve human subject research, the investigator will be asked to submit a protocol in Cayuse for consideration by the IRB. </w:t>
      </w:r>
    </w:p>
    <w:p w14:paraId="6B60CBA1" w14:textId="7B70D9C5" w:rsidR="006923ED" w:rsidRDefault="006923ED" w:rsidP="004626EC">
      <w:pPr>
        <w:pStyle w:val="NoSpacing"/>
        <w:rPr>
          <w:rFonts w:ascii="Times New Roman" w:hAnsi="Times New Roman"/>
          <w:sz w:val="24"/>
          <w:szCs w:val="24"/>
        </w:rPr>
      </w:pPr>
    </w:p>
    <w:p w14:paraId="335F4531" w14:textId="77777777" w:rsidR="006923ED" w:rsidRDefault="006923ED" w:rsidP="004626EC">
      <w:pPr>
        <w:pStyle w:val="NoSpacing"/>
        <w:rPr>
          <w:rFonts w:ascii="Times New Roman" w:hAnsi="Times New Roman"/>
          <w:sz w:val="24"/>
          <w:szCs w:val="24"/>
        </w:rPr>
      </w:pPr>
    </w:p>
    <w:p w14:paraId="2B704924" w14:textId="429892A6" w:rsidR="00F70716" w:rsidRDefault="00F70716" w:rsidP="004626EC">
      <w:pPr>
        <w:pStyle w:val="NoSpacing"/>
        <w:rPr>
          <w:rFonts w:ascii="Times New Roman" w:hAnsi="Times New Roman"/>
          <w:b/>
          <w:sz w:val="30"/>
          <w:szCs w:val="30"/>
        </w:rPr>
      </w:pPr>
      <w:r w:rsidRPr="00F70716">
        <w:rPr>
          <w:rFonts w:ascii="Times New Roman" w:hAnsi="Times New Roman"/>
          <w:b/>
          <w:sz w:val="30"/>
          <w:szCs w:val="30"/>
        </w:rPr>
        <w:lastRenderedPageBreak/>
        <w:t xml:space="preserve">When is the secondary use of existing data exempt? </w:t>
      </w:r>
    </w:p>
    <w:p w14:paraId="723ED0E1" w14:textId="6EE03B20" w:rsidR="00F70716" w:rsidRDefault="00F70716" w:rsidP="004626EC">
      <w:pPr>
        <w:pStyle w:val="NoSpacing"/>
        <w:rPr>
          <w:rFonts w:ascii="Times New Roman" w:hAnsi="Times New Roman"/>
          <w:sz w:val="24"/>
          <w:szCs w:val="24"/>
        </w:rPr>
      </w:pPr>
    </w:p>
    <w:p w14:paraId="2B493057" w14:textId="273CD1FA" w:rsidR="00F70716" w:rsidRPr="000E4873" w:rsidRDefault="001574FF" w:rsidP="004626EC">
      <w:pPr>
        <w:pStyle w:val="NoSpacing"/>
        <w:rPr>
          <w:rFonts w:ascii="Times New Roman" w:hAnsi="Times New Roman"/>
          <w:sz w:val="24"/>
          <w:szCs w:val="24"/>
        </w:rPr>
      </w:pPr>
      <w:r w:rsidRPr="000E4873">
        <w:rPr>
          <w:rFonts w:ascii="Times New Roman" w:hAnsi="Times New Roman"/>
          <w:sz w:val="24"/>
          <w:szCs w:val="24"/>
        </w:rPr>
        <w:t>There are six categories of re</w:t>
      </w:r>
      <w:r w:rsidR="008574A8" w:rsidRPr="000E4873">
        <w:rPr>
          <w:rFonts w:ascii="Times New Roman" w:hAnsi="Times New Roman"/>
          <w:sz w:val="24"/>
          <w:szCs w:val="24"/>
        </w:rPr>
        <w:t xml:space="preserve">search activities involving human subjects that may be exempt from the requirements of the federal regulations on human subject research protection (45CFR 46.101(2)(b)). However, only one exemption category (Category 4) applies specifically to existing data. If research is found to be exempt, it need not receive full or expedited review. In order to qualify for exemption determination, an application must be submitted in Cayuse for IRB review. </w:t>
      </w:r>
    </w:p>
    <w:p w14:paraId="18EB589C" w14:textId="17B314B1" w:rsidR="008574A8" w:rsidRPr="000E4873" w:rsidRDefault="008574A8" w:rsidP="004626EC">
      <w:pPr>
        <w:pStyle w:val="NoSpacing"/>
        <w:rPr>
          <w:rFonts w:ascii="Times New Roman" w:hAnsi="Times New Roman"/>
          <w:sz w:val="24"/>
          <w:szCs w:val="24"/>
        </w:rPr>
      </w:pPr>
    </w:p>
    <w:p w14:paraId="4C2D90BC" w14:textId="50B575F9" w:rsidR="008574A8" w:rsidRPr="000E4873" w:rsidRDefault="008574A8" w:rsidP="004626EC">
      <w:pPr>
        <w:pStyle w:val="NoSpacing"/>
        <w:rPr>
          <w:rFonts w:ascii="Times New Roman" w:hAnsi="Times New Roman"/>
          <w:sz w:val="24"/>
          <w:szCs w:val="24"/>
        </w:rPr>
      </w:pPr>
      <w:r w:rsidRPr="000E4873">
        <w:rPr>
          <w:rFonts w:ascii="Times New Roman" w:hAnsi="Times New Roman"/>
          <w:sz w:val="24"/>
          <w:szCs w:val="24"/>
        </w:rPr>
        <w:t>Research involving collection or study of existing data, documents, and records can be exempted under Category 4 of the federal regulations if: (</w:t>
      </w:r>
      <w:proofErr w:type="spellStart"/>
      <w:r w:rsidRPr="000E4873">
        <w:rPr>
          <w:rFonts w:ascii="Times New Roman" w:hAnsi="Times New Roman"/>
          <w:sz w:val="24"/>
          <w:szCs w:val="24"/>
        </w:rPr>
        <w:t>i</w:t>
      </w:r>
      <w:proofErr w:type="spellEnd"/>
      <w:r w:rsidRPr="000E4873">
        <w:rPr>
          <w:rFonts w:ascii="Times New Roman" w:hAnsi="Times New Roman"/>
          <w:sz w:val="24"/>
          <w:szCs w:val="24"/>
        </w:rPr>
        <w:t xml:space="preserve">) the sources of such data are publicly available; or (ii) the information is recorded by the investigator in such a manner that subjects cannot be identified, directly or through identifiers linked to the subjects. </w:t>
      </w:r>
    </w:p>
    <w:p w14:paraId="5C7BB5A2" w14:textId="10F40270" w:rsidR="008574A8" w:rsidRPr="000E4873" w:rsidRDefault="008574A8" w:rsidP="004626EC">
      <w:pPr>
        <w:pStyle w:val="NoSpacing"/>
        <w:rPr>
          <w:rFonts w:ascii="Times New Roman" w:hAnsi="Times New Roman"/>
          <w:sz w:val="24"/>
          <w:szCs w:val="24"/>
        </w:rPr>
      </w:pPr>
    </w:p>
    <w:p w14:paraId="7C0E3C74" w14:textId="727C0C82" w:rsidR="008574A8" w:rsidRPr="000E4873" w:rsidRDefault="008574A8" w:rsidP="004626EC">
      <w:pPr>
        <w:pStyle w:val="NoSpacing"/>
        <w:rPr>
          <w:rFonts w:ascii="Times New Roman" w:hAnsi="Times New Roman"/>
          <w:sz w:val="24"/>
          <w:szCs w:val="24"/>
        </w:rPr>
      </w:pPr>
      <w:r w:rsidRPr="000E4873">
        <w:rPr>
          <w:rFonts w:ascii="Times New Roman" w:hAnsi="Times New Roman"/>
          <w:sz w:val="24"/>
          <w:szCs w:val="24"/>
        </w:rPr>
        <w:t xml:space="preserve">The latter condition of this category applies in cases where the investigators initially have access to identifiable private information but abstract the data needed for the research in such a way that the information can no longer be connected to the identity of the subjects. This means that the abstracted data set does not include </w:t>
      </w:r>
      <w:r w:rsidRPr="000E4873">
        <w:rPr>
          <w:rFonts w:ascii="Times New Roman" w:hAnsi="Times New Roman"/>
          <w:b/>
          <w:sz w:val="24"/>
          <w:szCs w:val="24"/>
        </w:rPr>
        <w:t xml:space="preserve">direct identifiers </w:t>
      </w:r>
      <w:r w:rsidRPr="000E4873">
        <w:rPr>
          <w:rFonts w:ascii="Times New Roman" w:hAnsi="Times New Roman"/>
          <w:sz w:val="24"/>
          <w:szCs w:val="24"/>
        </w:rPr>
        <w:t xml:space="preserve">(names, social security numbers, addresses, phone numbers, etc.) or </w:t>
      </w:r>
      <w:r w:rsidRPr="000E4873">
        <w:rPr>
          <w:rFonts w:ascii="Times New Roman" w:hAnsi="Times New Roman"/>
          <w:b/>
          <w:sz w:val="24"/>
          <w:szCs w:val="24"/>
        </w:rPr>
        <w:t>indirect identifiers</w:t>
      </w:r>
      <w:r w:rsidR="00294A62" w:rsidRPr="000E4873">
        <w:rPr>
          <w:rFonts w:ascii="Times New Roman" w:hAnsi="Times New Roman"/>
          <w:sz w:val="24"/>
          <w:szCs w:val="24"/>
        </w:rPr>
        <w:t xml:space="preserve"> (codes or pseudonyms that linked to the subject’s identity). Furthermore, it must not be possible to identify subjects by combining a number of characteristics (e.g., dates of birth, gender, position, and place of employment). This is especially relevant in smaller datasets, where the population is confined to a limited subject pool. </w:t>
      </w:r>
    </w:p>
    <w:p w14:paraId="1BF8C1ED" w14:textId="31346DC0" w:rsidR="00294A62" w:rsidRPr="000E4873" w:rsidRDefault="00294A62" w:rsidP="004626EC">
      <w:pPr>
        <w:pStyle w:val="NoSpacing"/>
        <w:rPr>
          <w:rFonts w:ascii="Times New Roman" w:hAnsi="Times New Roman"/>
          <w:sz w:val="24"/>
          <w:szCs w:val="24"/>
        </w:rPr>
      </w:pPr>
    </w:p>
    <w:p w14:paraId="4363319F" w14:textId="03711CE2" w:rsidR="00294A62" w:rsidRPr="000E4873" w:rsidRDefault="00294A62" w:rsidP="004626EC">
      <w:pPr>
        <w:pStyle w:val="NoSpacing"/>
        <w:rPr>
          <w:rFonts w:ascii="Times New Roman" w:hAnsi="Times New Roman"/>
          <w:sz w:val="24"/>
          <w:szCs w:val="24"/>
        </w:rPr>
      </w:pPr>
      <w:r w:rsidRPr="000E4873">
        <w:rPr>
          <w:rFonts w:ascii="Times New Roman" w:hAnsi="Times New Roman"/>
          <w:sz w:val="24"/>
          <w:szCs w:val="24"/>
        </w:rPr>
        <w:t>The following do not qualify for exemption: Research involving prisoners and FDA- regulate</w:t>
      </w:r>
      <w:r w:rsidR="000E4873" w:rsidRPr="000E4873">
        <w:rPr>
          <w:rFonts w:ascii="Times New Roman" w:hAnsi="Times New Roman"/>
          <w:sz w:val="24"/>
          <w:szCs w:val="24"/>
        </w:rPr>
        <w:t>d</w:t>
      </w:r>
      <w:r w:rsidRPr="000E4873">
        <w:rPr>
          <w:rFonts w:ascii="Times New Roman" w:hAnsi="Times New Roman"/>
          <w:sz w:val="24"/>
          <w:szCs w:val="24"/>
        </w:rPr>
        <w:t xml:space="preserve"> research. </w:t>
      </w:r>
    </w:p>
    <w:p w14:paraId="5CF0703F" w14:textId="256DB603" w:rsidR="008574A8" w:rsidRDefault="008574A8" w:rsidP="004626EC">
      <w:pPr>
        <w:pStyle w:val="NoSpacing"/>
        <w:rPr>
          <w:rFonts w:ascii="Times New Roman" w:hAnsi="Times New Roman"/>
          <w:sz w:val="24"/>
          <w:szCs w:val="24"/>
        </w:rPr>
      </w:pPr>
    </w:p>
    <w:p w14:paraId="7CEC557F" w14:textId="4861B246" w:rsidR="000E4873" w:rsidRDefault="000E4873" w:rsidP="004626EC">
      <w:pPr>
        <w:pStyle w:val="NoSpacing"/>
        <w:rPr>
          <w:rFonts w:ascii="Times New Roman" w:hAnsi="Times New Roman"/>
          <w:sz w:val="24"/>
          <w:szCs w:val="24"/>
        </w:rPr>
      </w:pPr>
      <w:r w:rsidRPr="000E4873">
        <w:rPr>
          <w:rFonts w:ascii="Times New Roman" w:hAnsi="Times New Roman"/>
          <w:b/>
          <w:sz w:val="24"/>
          <w:szCs w:val="24"/>
        </w:rPr>
        <w:t xml:space="preserve">Example: </w:t>
      </w:r>
      <w:r>
        <w:rPr>
          <w:rFonts w:ascii="Times New Roman" w:hAnsi="Times New Roman"/>
          <w:sz w:val="24"/>
          <w:szCs w:val="24"/>
        </w:rPr>
        <w:t xml:space="preserve">Student A will be given access to data from their faculty advisor’s health survey research project. The data consists of coded survey data responses, and the advisor will train a key that would link the data to identifiers. The student will extract the information they need for their project without including any identifying information and without retaining the code. The use of the data does constitute research with human subjects because the initial data set is identifiable (albeit through a coding system); however, it would qualify for exempt status. </w:t>
      </w:r>
    </w:p>
    <w:p w14:paraId="670100F8" w14:textId="2C8F0642" w:rsidR="000E4873" w:rsidRDefault="000E4873" w:rsidP="004626EC">
      <w:pPr>
        <w:pStyle w:val="NoSpacing"/>
        <w:rPr>
          <w:rFonts w:ascii="Times New Roman" w:hAnsi="Times New Roman"/>
          <w:sz w:val="24"/>
          <w:szCs w:val="24"/>
        </w:rPr>
      </w:pPr>
    </w:p>
    <w:p w14:paraId="3681D0A6" w14:textId="77777777" w:rsidR="000E4873" w:rsidRDefault="000E4873" w:rsidP="004626EC">
      <w:pPr>
        <w:pStyle w:val="NoSpacing"/>
        <w:rPr>
          <w:rFonts w:ascii="Times New Roman" w:hAnsi="Times New Roman"/>
          <w:b/>
          <w:sz w:val="30"/>
          <w:szCs w:val="30"/>
        </w:rPr>
      </w:pPr>
      <w:r w:rsidRPr="000E4873">
        <w:rPr>
          <w:rFonts w:ascii="Times New Roman" w:hAnsi="Times New Roman"/>
          <w:b/>
          <w:sz w:val="30"/>
          <w:szCs w:val="30"/>
        </w:rPr>
        <w:t>When does the secondary use of existing data require expedited or full board review?</w:t>
      </w:r>
    </w:p>
    <w:p w14:paraId="05EFD57E" w14:textId="619998D6" w:rsidR="000E4873" w:rsidRDefault="000E4873" w:rsidP="004626EC">
      <w:pPr>
        <w:pStyle w:val="NoSpacing"/>
        <w:rPr>
          <w:rFonts w:ascii="Times New Roman" w:hAnsi="Times New Roman"/>
          <w:b/>
          <w:sz w:val="30"/>
          <w:szCs w:val="30"/>
        </w:rPr>
      </w:pPr>
    </w:p>
    <w:p w14:paraId="5C893F3A" w14:textId="21DC76EC" w:rsidR="001E70C0" w:rsidRDefault="001E70C0" w:rsidP="004626EC">
      <w:pPr>
        <w:pStyle w:val="NoSpacing"/>
        <w:rPr>
          <w:rFonts w:ascii="Times New Roman" w:hAnsi="Times New Roman"/>
          <w:sz w:val="24"/>
          <w:szCs w:val="24"/>
        </w:rPr>
      </w:pPr>
      <w:r>
        <w:rPr>
          <w:rFonts w:ascii="Times New Roman" w:hAnsi="Times New Roman"/>
          <w:sz w:val="24"/>
          <w:szCs w:val="24"/>
        </w:rPr>
        <w:t xml:space="preserve">If secondary analysis of existing data does involve research with human subjects and does not qualify for exempt status as explained above, the project must be reviewed either through expedited procedures or by the full (convened) IRB, and an application must be submitted in Cayuse for IRB review/approval. </w:t>
      </w:r>
    </w:p>
    <w:p w14:paraId="21CB0983" w14:textId="0538AEE6" w:rsidR="00004DEF" w:rsidRDefault="00004DEF" w:rsidP="004626EC">
      <w:pPr>
        <w:pStyle w:val="NoSpacing"/>
        <w:rPr>
          <w:rFonts w:ascii="Times New Roman" w:hAnsi="Times New Roman"/>
          <w:sz w:val="24"/>
          <w:szCs w:val="24"/>
        </w:rPr>
      </w:pPr>
    </w:p>
    <w:p w14:paraId="6A9A6BE5" w14:textId="6F65798A" w:rsidR="00004DEF" w:rsidRDefault="00004DEF" w:rsidP="004626EC">
      <w:pPr>
        <w:pStyle w:val="NoSpacing"/>
        <w:rPr>
          <w:rFonts w:ascii="Times New Roman" w:hAnsi="Times New Roman"/>
          <w:sz w:val="24"/>
          <w:szCs w:val="24"/>
        </w:rPr>
      </w:pPr>
      <w:r w:rsidRPr="00004DEF">
        <w:rPr>
          <w:rFonts w:ascii="Times New Roman" w:hAnsi="Times New Roman"/>
          <w:b/>
          <w:sz w:val="24"/>
          <w:szCs w:val="24"/>
        </w:rPr>
        <w:t xml:space="preserve">Consent: </w:t>
      </w:r>
      <w:r>
        <w:rPr>
          <w:rFonts w:ascii="Times New Roman" w:hAnsi="Times New Roman"/>
          <w:sz w:val="24"/>
          <w:szCs w:val="24"/>
        </w:rPr>
        <w:t xml:space="preserve">Researchers using data previously collected under another study should consider whether the currently proposed research is a “compatible use” with what subjects agreed to in the </w:t>
      </w:r>
      <w:r>
        <w:rPr>
          <w:rFonts w:ascii="Times New Roman" w:hAnsi="Times New Roman"/>
          <w:sz w:val="24"/>
          <w:szCs w:val="24"/>
        </w:rPr>
        <w:lastRenderedPageBreak/>
        <w:t>original consent form. For non-exempt projects, a consent process description or justification for a waiver must be included in the research protocol submission.</w:t>
      </w:r>
    </w:p>
    <w:p w14:paraId="22F4A19D" w14:textId="1DE8CEE4" w:rsidR="00004DEF" w:rsidRDefault="00004DEF" w:rsidP="004626EC">
      <w:pPr>
        <w:pStyle w:val="NoSpacing"/>
        <w:rPr>
          <w:rFonts w:ascii="Times New Roman" w:hAnsi="Times New Roman"/>
          <w:sz w:val="24"/>
          <w:szCs w:val="24"/>
        </w:rPr>
      </w:pPr>
    </w:p>
    <w:p w14:paraId="0755C5EA" w14:textId="4440022F" w:rsidR="00004DEF" w:rsidRDefault="00004DEF" w:rsidP="004626EC">
      <w:pPr>
        <w:pStyle w:val="NoSpacing"/>
        <w:rPr>
          <w:rFonts w:ascii="Times New Roman" w:hAnsi="Times New Roman"/>
          <w:sz w:val="24"/>
          <w:szCs w:val="24"/>
        </w:rPr>
      </w:pPr>
      <w:r>
        <w:rPr>
          <w:rFonts w:ascii="Times New Roman" w:hAnsi="Times New Roman"/>
          <w:sz w:val="24"/>
          <w:szCs w:val="24"/>
        </w:rPr>
        <w:t xml:space="preserve">The IRB may require that informed consent for secondary analysis be obtained from subjects whose data will be assessed. </w:t>
      </w:r>
    </w:p>
    <w:p w14:paraId="66A08BE1" w14:textId="38232987" w:rsidR="00004DEF" w:rsidRDefault="00004DEF" w:rsidP="004626EC">
      <w:pPr>
        <w:pStyle w:val="NoSpacing"/>
        <w:rPr>
          <w:rFonts w:ascii="Times New Roman" w:hAnsi="Times New Roman"/>
          <w:sz w:val="24"/>
          <w:szCs w:val="24"/>
        </w:rPr>
      </w:pPr>
    </w:p>
    <w:p w14:paraId="37FD045F" w14:textId="4E51A2DD" w:rsidR="00004DEF" w:rsidRDefault="00004DEF" w:rsidP="004626EC">
      <w:pPr>
        <w:pStyle w:val="NoSpacing"/>
        <w:rPr>
          <w:rFonts w:ascii="Times New Roman" w:hAnsi="Times New Roman"/>
          <w:sz w:val="24"/>
          <w:szCs w:val="24"/>
        </w:rPr>
      </w:pPr>
      <w:r>
        <w:rPr>
          <w:rFonts w:ascii="Times New Roman" w:hAnsi="Times New Roman"/>
          <w:sz w:val="24"/>
          <w:szCs w:val="24"/>
        </w:rPr>
        <w:t>Alternatively, the IRB can consider a request for a waiver of one or more elements of informed consent under 45 CFR 46.116(d). In order to approve such a waiver, the IRB must first be satisfied that the research:</w:t>
      </w:r>
    </w:p>
    <w:p w14:paraId="3B7FA765" w14:textId="2B459001" w:rsidR="00004DEF" w:rsidRDefault="00004DEF" w:rsidP="004626EC">
      <w:pPr>
        <w:pStyle w:val="NoSpacing"/>
        <w:rPr>
          <w:rFonts w:ascii="Times New Roman" w:hAnsi="Times New Roman"/>
          <w:sz w:val="24"/>
          <w:szCs w:val="24"/>
        </w:rPr>
      </w:pPr>
    </w:p>
    <w:p w14:paraId="26B246B0" w14:textId="3A655DAE" w:rsidR="00004DEF" w:rsidRDefault="00004DEF" w:rsidP="00004DEF">
      <w:pPr>
        <w:pStyle w:val="NoSpacing"/>
        <w:numPr>
          <w:ilvl w:val="0"/>
          <w:numId w:val="23"/>
        </w:numPr>
        <w:rPr>
          <w:rFonts w:ascii="Times New Roman" w:hAnsi="Times New Roman"/>
          <w:sz w:val="24"/>
          <w:szCs w:val="24"/>
        </w:rPr>
      </w:pPr>
      <w:r>
        <w:rPr>
          <w:rFonts w:ascii="Times New Roman" w:hAnsi="Times New Roman"/>
          <w:sz w:val="24"/>
          <w:szCs w:val="24"/>
        </w:rPr>
        <w:t>Presents minimal risk (no risk of harm, considering probability and magnitude, greater than those ordinarily encountered in daily life or during the performance of routine examinations or test); and</w:t>
      </w:r>
    </w:p>
    <w:p w14:paraId="5DC7BB98" w14:textId="1A3B41B9" w:rsidR="00004DEF" w:rsidRDefault="00004DEF" w:rsidP="00004DEF">
      <w:pPr>
        <w:pStyle w:val="NoSpacing"/>
        <w:numPr>
          <w:ilvl w:val="0"/>
          <w:numId w:val="23"/>
        </w:numPr>
        <w:rPr>
          <w:rFonts w:ascii="Times New Roman" w:hAnsi="Times New Roman"/>
          <w:sz w:val="24"/>
          <w:szCs w:val="24"/>
        </w:rPr>
      </w:pPr>
      <w:r>
        <w:rPr>
          <w:rFonts w:ascii="Times New Roman" w:hAnsi="Times New Roman"/>
          <w:sz w:val="24"/>
          <w:szCs w:val="24"/>
        </w:rPr>
        <w:t>The waiver or alteration will not adversely affect the rights and welfare of the subjects; and</w:t>
      </w:r>
    </w:p>
    <w:p w14:paraId="4137EFF4" w14:textId="4FFBD07F" w:rsidR="00F70716" w:rsidRDefault="00004DEF" w:rsidP="00CE3D04">
      <w:pPr>
        <w:pStyle w:val="NoSpacing"/>
        <w:numPr>
          <w:ilvl w:val="0"/>
          <w:numId w:val="23"/>
        </w:numPr>
        <w:rPr>
          <w:rFonts w:ascii="Times New Roman" w:hAnsi="Times New Roman"/>
          <w:sz w:val="24"/>
          <w:szCs w:val="24"/>
        </w:rPr>
      </w:pPr>
      <w:r>
        <w:rPr>
          <w:rFonts w:ascii="Times New Roman" w:hAnsi="Times New Roman"/>
          <w:sz w:val="24"/>
          <w:szCs w:val="24"/>
        </w:rPr>
        <w:t>The research could not pract</w:t>
      </w:r>
      <w:r w:rsidR="00CE3D04">
        <w:rPr>
          <w:rFonts w:ascii="Times New Roman" w:hAnsi="Times New Roman"/>
          <w:sz w:val="24"/>
          <w:szCs w:val="24"/>
        </w:rPr>
        <w:t>icably be carried out without the waiver or alteration; and</w:t>
      </w:r>
    </w:p>
    <w:p w14:paraId="0A7A83D0" w14:textId="6F0D7A92" w:rsidR="00CE3D04" w:rsidRDefault="00CE3D04" w:rsidP="00CE3D04">
      <w:pPr>
        <w:pStyle w:val="NoSpacing"/>
        <w:numPr>
          <w:ilvl w:val="0"/>
          <w:numId w:val="23"/>
        </w:numPr>
        <w:rPr>
          <w:rFonts w:ascii="Times New Roman" w:hAnsi="Times New Roman"/>
          <w:sz w:val="24"/>
          <w:szCs w:val="24"/>
        </w:rPr>
      </w:pPr>
      <w:r>
        <w:rPr>
          <w:rFonts w:ascii="Times New Roman" w:hAnsi="Times New Roman"/>
          <w:sz w:val="24"/>
          <w:szCs w:val="24"/>
        </w:rPr>
        <w:t>Whenever appropriate, the subjects will be provided with additional pertinent information after participation.</w:t>
      </w:r>
    </w:p>
    <w:p w14:paraId="56004D60" w14:textId="64A54B4B" w:rsidR="00CE3D04" w:rsidRDefault="00CE3D04" w:rsidP="00CE3D04">
      <w:pPr>
        <w:pStyle w:val="NoSpacing"/>
        <w:rPr>
          <w:rFonts w:ascii="Times New Roman" w:hAnsi="Times New Roman"/>
          <w:sz w:val="24"/>
          <w:szCs w:val="24"/>
        </w:rPr>
      </w:pPr>
    </w:p>
    <w:p w14:paraId="1A9A249B" w14:textId="77777777" w:rsidR="00CE3D04" w:rsidRDefault="00CE3D04" w:rsidP="00CE3D04">
      <w:pPr>
        <w:pStyle w:val="NoSpacing"/>
        <w:rPr>
          <w:rFonts w:ascii="Times New Roman" w:hAnsi="Times New Roman"/>
          <w:sz w:val="24"/>
          <w:szCs w:val="24"/>
        </w:rPr>
      </w:pPr>
      <w:r w:rsidRPr="00CE3D04">
        <w:rPr>
          <w:rFonts w:ascii="Times New Roman" w:hAnsi="Times New Roman"/>
          <w:b/>
          <w:sz w:val="24"/>
          <w:szCs w:val="24"/>
        </w:rPr>
        <w:t>“Restricted Use Data”</w:t>
      </w:r>
      <w:r>
        <w:rPr>
          <w:rFonts w:ascii="Times New Roman" w:hAnsi="Times New Roman"/>
          <w:b/>
          <w:sz w:val="24"/>
          <w:szCs w:val="24"/>
        </w:rPr>
        <w:t xml:space="preserve">: </w:t>
      </w:r>
      <w:r w:rsidRPr="00CE3D04">
        <w:rPr>
          <w:rFonts w:ascii="Times New Roman" w:hAnsi="Times New Roman"/>
          <w:sz w:val="24"/>
          <w:szCs w:val="24"/>
        </w:rPr>
        <w:t>Certain agencies and research organizations release files to researchers with specific restrictions regarding their use and storage.</w:t>
      </w:r>
      <w:r>
        <w:rPr>
          <w:rFonts w:ascii="Times New Roman" w:hAnsi="Times New Roman"/>
          <w:sz w:val="24"/>
          <w:szCs w:val="24"/>
        </w:rPr>
        <w:t xml:space="preserve"> These restrictions are typically described in a data use or restricted data use agreement the organization require be signed in order to receive the data. The records frequently contain identifiers or extensive variables that combined might enable identification, even though this is not the intent of the researcher. Research using these data sets requires expedited or full board level review. Note that the data use or restricted use data agreement must be reviewed by The Office Sponsored Programs prior to institutional approval. The IRB will not approve the study until the agreement received approval from OSP. The protocol may be submitted to the IRB at the same time the agreement is submitted to OSP. </w:t>
      </w:r>
    </w:p>
    <w:p w14:paraId="5964BDA7" w14:textId="77777777" w:rsidR="00CE3D04" w:rsidRDefault="00CE3D04" w:rsidP="00CE3D04">
      <w:pPr>
        <w:pStyle w:val="NoSpacing"/>
        <w:rPr>
          <w:rFonts w:ascii="Times New Roman" w:hAnsi="Times New Roman"/>
          <w:sz w:val="24"/>
          <w:szCs w:val="24"/>
        </w:rPr>
      </w:pPr>
    </w:p>
    <w:p w14:paraId="4FB5E3F2" w14:textId="04FCE47E" w:rsidR="00CE3D04" w:rsidRPr="00CE3D04" w:rsidRDefault="00CE3D04" w:rsidP="00CE3D04">
      <w:pPr>
        <w:pStyle w:val="NoSpacing"/>
        <w:rPr>
          <w:rFonts w:ascii="Times New Roman" w:hAnsi="Times New Roman"/>
          <w:sz w:val="24"/>
          <w:szCs w:val="24"/>
        </w:rPr>
      </w:pPr>
      <w:r w:rsidRPr="00CE3D04">
        <w:rPr>
          <w:rFonts w:ascii="Times New Roman" w:hAnsi="Times New Roman"/>
          <w:b/>
          <w:sz w:val="24"/>
          <w:szCs w:val="24"/>
        </w:rPr>
        <w:t xml:space="preserve">Example:  </w:t>
      </w:r>
      <w:r w:rsidRPr="00CE3D04">
        <w:rPr>
          <w:rFonts w:ascii="Times New Roman" w:hAnsi="Times New Roman"/>
          <w:sz w:val="24"/>
          <w:szCs w:val="24"/>
        </w:rPr>
        <w:t>Student C will be given access to coded mental health assessments from</w:t>
      </w:r>
      <w:r>
        <w:rPr>
          <w:rFonts w:ascii="Times New Roman" w:hAnsi="Times New Roman"/>
          <w:sz w:val="24"/>
          <w:szCs w:val="24"/>
        </w:rPr>
        <w:t xml:space="preserve"> </w:t>
      </w:r>
      <w:r w:rsidRPr="00CE3D04">
        <w:rPr>
          <w:rFonts w:ascii="Times New Roman" w:hAnsi="Times New Roman"/>
          <w:sz w:val="24"/>
          <w:szCs w:val="24"/>
        </w:rPr>
        <w:t>his faculty advisor’s research project. The student plans to analyze the data</w:t>
      </w:r>
      <w:r>
        <w:rPr>
          <w:rFonts w:ascii="Times New Roman" w:hAnsi="Times New Roman"/>
          <w:sz w:val="24"/>
          <w:szCs w:val="24"/>
        </w:rPr>
        <w:t xml:space="preserve"> </w:t>
      </w:r>
      <w:r w:rsidRPr="00CE3D04">
        <w:rPr>
          <w:rFonts w:ascii="Times New Roman" w:hAnsi="Times New Roman"/>
          <w:sz w:val="24"/>
          <w:szCs w:val="24"/>
        </w:rPr>
        <w:t>with a code attached to each record, and the advisor will retain a key to the</w:t>
      </w:r>
      <w:r>
        <w:rPr>
          <w:rFonts w:ascii="Times New Roman" w:hAnsi="Times New Roman"/>
          <w:sz w:val="24"/>
          <w:szCs w:val="24"/>
        </w:rPr>
        <w:t xml:space="preserve"> </w:t>
      </w:r>
      <w:r w:rsidRPr="00CE3D04">
        <w:rPr>
          <w:rFonts w:ascii="Times New Roman" w:hAnsi="Times New Roman"/>
          <w:sz w:val="24"/>
          <w:szCs w:val="24"/>
        </w:rPr>
        <w:t>code that would link the data to identifiers. The use of the data does constitute</w:t>
      </w:r>
      <w:r>
        <w:rPr>
          <w:rFonts w:ascii="Times New Roman" w:hAnsi="Times New Roman"/>
          <w:sz w:val="24"/>
          <w:szCs w:val="24"/>
        </w:rPr>
        <w:t xml:space="preserve"> </w:t>
      </w:r>
      <w:r w:rsidRPr="00CE3D04">
        <w:rPr>
          <w:rFonts w:ascii="Times New Roman" w:hAnsi="Times New Roman"/>
          <w:sz w:val="24"/>
          <w:szCs w:val="24"/>
        </w:rPr>
        <w:t>research with human subjects and does not qualify for exempt status since</w:t>
      </w:r>
      <w:r>
        <w:rPr>
          <w:rFonts w:ascii="Times New Roman" w:hAnsi="Times New Roman"/>
          <w:sz w:val="24"/>
          <w:szCs w:val="24"/>
        </w:rPr>
        <w:t xml:space="preserve"> </w:t>
      </w:r>
      <w:r w:rsidRPr="00CE3D04">
        <w:rPr>
          <w:rFonts w:ascii="Times New Roman" w:hAnsi="Times New Roman"/>
          <w:sz w:val="24"/>
          <w:szCs w:val="24"/>
        </w:rPr>
        <w:t xml:space="preserve">subjects can be identified. This student project would require an </w:t>
      </w:r>
      <w:r>
        <w:rPr>
          <w:rFonts w:ascii="Times New Roman" w:hAnsi="Times New Roman"/>
          <w:sz w:val="24"/>
          <w:szCs w:val="24"/>
        </w:rPr>
        <w:t xml:space="preserve">initial </w:t>
      </w:r>
    </w:p>
    <w:p w14:paraId="344659E8" w14:textId="2044BCF8" w:rsidR="00CE3D04" w:rsidRDefault="00CE3D04" w:rsidP="00CE3D04">
      <w:pPr>
        <w:pStyle w:val="NoSpacing"/>
        <w:rPr>
          <w:rFonts w:ascii="Times New Roman" w:hAnsi="Times New Roman"/>
          <w:sz w:val="24"/>
          <w:szCs w:val="24"/>
        </w:rPr>
      </w:pPr>
      <w:r>
        <w:rPr>
          <w:rFonts w:ascii="Times New Roman" w:hAnsi="Times New Roman"/>
          <w:sz w:val="24"/>
          <w:szCs w:val="24"/>
        </w:rPr>
        <w:t>submission</w:t>
      </w:r>
      <w:r w:rsidRPr="00CE3D04">
        <w:rPr>
          <w:rFonts w:ascii="Times New Roman" w:hAnsi="Times New Roman"/>
          <w:sz w:val="24"/>
          <w:szCs w:val="24"/>
        </w:rPr>
        <w:t xml:space="preserve"> application to be submitted in </w:t>
      </w:r>
      <w:r>
        <w:rPr>
          <w:rFonts w:ascii="Times New Roman" w:hAnsi="Times New Roman"/>
          <w:sz w:val="24"/>
          <w:szCs w:val="24"/>
        </w:rPr>
        <w:t>Cayuse</w:t>
      </w:r>
      <w:r w:rsidRPr="00CE3D04">
        <w:rPr>
          <w:rFonts w:ascii="Times New Roman" w:hAnsi="Times New Roman"/>
          <w:sz w:val="24"/>
          <w:szCs w:val="24"/>
        </w:rPr>
        <w:t xml:space="preserve"> for expedited or full board</w:t>
      </w:r>
      <w:r>
        <w:rPr>
          <w:rFonts w:ascii="Times New Roman" w:hAnsi="Times New Roman"/>
          <w:sz w:val="24"/>
          <w:szCs w:val="24"/>
        </w:rPr>
        <w:t xml:space="preserve"> </w:t>
      </w:r>
      <w:r w:rsidRPr="00CE3D04">
        <w:rPr>
          <w:rFonts w:ascii="Times New Roman" w:hAnsi="Times New Roman"/>
          <w:sz w:val="24"/>
          <w:szCs w:val="24"/>
        </w:rPr>
        <w:t>review by the IRB.</w:t>
      </w:r>
    </w:p>
    <w:p w14:paraId="0812496B" w14:textId="409740BF" w:rsidR="00CE3D04" w:rsidRDefault="00CE3D04" w:rsidP="00CE3D04">
      <w:pPr>
        <w:pStyle w:val="NoSpacing"/>
        <w:rPr>
          <w:rFonts w:ascii="Times New Roman" w:hAnsi="Times New Roman"/>
          <w:sz w:val="24"/>
          <w:szCs w:val="24"/>
        </w:rPr>
      </w:pPr>
    </w:p>
    <w:p w14:paraId="43DA7EA3" w14:textId="34E2D4FF" w:rsidR="00CE3D04" w:rsidRPr="00CE3D04" w:rsidRDefault="00CE3D04" w:rsidP="00CE3D04">
      <w:pPr>
        <w:pStyle w:val="NoSpacing"/>
        <w:rPr>
          <w:rFonts w:ascii="Times New Roman" w:hAnsi="Times New Roman"/>
          <w:sz w:val="24"/>
          <w:szCs w:val="24"/>
        </w:rPr>
      </w:pPr>
      <w:r w:rsidRPr="00CE3D04">
        <w:rPr>
          <w:rFonts w:ascii="Times New Roman" w:hAnsi="Times New Roman"/>
          <w:b/>
          <w:bCs/>
          <w:sz w:val="24"/>
          <w:szCs w:val="24"/>
        </w:rPr>
        <w:t xml:space="preserve">Note: </w:t>
      </w:r>
      <w:r w:rsidRPr="00CE3D04">
        <w:rPr>
          <w:rFonts w:ascii="Times New Roman" w:hAnsi="Times New Roman"/>
          <w:sz w:val="24"/>
          <w:szCs w:val="24"/>
        </w:rPr>
        <w:t>As previously noted, if the student’s work fits within the scope of the</w:t>
      </w:r>
      <w:r>
        <w:rPr>
          <w:rFonts w:ascii="Times New Roman" w:hAnsi="Times New Roman"/>
          <w:sz w:val="24"/>
          <w:szCs w:val="24"/>
        </w:rPr>
        <w:t xml:space="preserve"> </w:t>
      </w:r>
      <w:r w:rsidRPr="00CE3D04">
        <w:rPr>
          <w:rFonts w:ascii="Times New Roman" w:hAnsi="Times New Roman"/>
          <w:sz w:val="24"/>
          <w:szCs w:val="24"/>
        </w:rPr>
        <w:t>initial protocol from which the dataset originates, the faculty advisor (or</w:t>
      </w:r>
      <w:r>
        <w:rPr>
          <w:rFonts w:ascii="Times New Roman" w:hAnsi="Times New Roman"/>
          <w:sz w:val="24"/>
          <w:szCs w:val="24"/>
        </w:rPr>
        <w:t xml:space="preserve"> </w:t>
      </w:r>
      <w:r w:rsidRPr="00CE3D04">
        <w:rPr>
          <w:rFonts w:ascii="Times New Roman" w:hAnsi="Times New Roman"/>
          <w:sz w:val="24"/>
          <w:szCs w:val="24"/>
        </w:rPr>
        <w:t>investigator who holds the dataset) may wish to consider adding the student</w:t>
      </w:r>
      <w:r>
        <w:rPr>
          <w:rFonts w:ascii="Times New Roman" w:hAnsi="Times New Roman"/>
          <w:sz w:val="24"/>
          <w:szCs w:val="24"/>
        </w:rPr>
        <w:t xml:space="preserve"> </w:t>
      </w:r>
      <w:r w:rsidRPr="00CE3D04">
        <w:rPr>
          <w:rFonts w:ascii="Times New Roman" w:hAnsi="Times New Roman"/>
          <w:sz w:val="24"/>
          <w:szCs w:val="24"/>
        </w:rPr>
        <w:t>and his/her work to the original protocol by means of an amendment</w:t>
      </w:r>
      <w:r>
        <w:rPr>
          <w:rFonts w:ascii="Times New Roman" w:hAnsi="Times New Roman"/>
          <w:sz w:val="24"/>
          <w:szCs w:val="24"/>
        </w:rPr>
        <w:t xml:space="preserve"> </w:t>
      </w:r>
      <w:r w:rsidRPr="00CE3D04">
        <w:rPr>
          <w:rFonts w:ascii="Times New Roman" w:hAnsi="Times New Roman"/>
          <w:sz w:val="24"/>
          <w:szCs w:val="24"/>
        </w:rPr>
        <w:t>application rather than having the student submit a new application for</w:t>
      </w:r>
    </w:p>
    <w:p w14:paraId="059BC60B" w14:textId="7D121359" w:rsidR="00CE3D04" w:rsidRDefault="00CE3D04" w:rsidP="00CE3D04">
      <w:pPr>
        <w:pStyle w:val="NoSpacing"/>
        <w:rPr>
          <w:rFonts w:ascii="Times New Roman" w:hAnsi="Times New Roman"/>
          <w:sz w:val="24"/>
          <w:szCs w:val="24"/>
        </w:rPr>
      </w:pPr>
      <w:r w:rsidRPr="00CE3D04">
        <w:rPr>
          <w:rFonts w:ascii="Times New Roman" w:hAnsi="Times New Roman"/>
          <w:sz w:val="24"/>
          <w:szCs w:val="24"/>
        </w:rPr>
        <w:t>expedited or full board review.</w:t>
      </w:r>
    </w:p>
    <w:p w14:paraId="397D3FEF" w14:textId="150A7E61" w:rsidR="00CE3D04" w:rsidRDefault="00CE3D04" w:rsidP="00CE3D04">
      <w:pPr>
        <w:pStyle w:val="NoSpacing"/>
        <w:rPr>
          <w:rFonts w:ascii="Times New Roman" w:hAnsi="Times New Roman"/>
          <w:sz w:val="24"/>
          <w:szCs w:val="24"/>
        </w:rPr>
      </w:pPr>
    </w:p>
    <w:p w14:paraId="0221D2EA" w14:textId="77777777" w:rsidR="00CE3D04" w:rsidRPr="00CE3D04" w:rsidRDefault="00CE3D04" w:rsidP="00CE3D04">
      <w:pPr>
        <w:pStyle w:val="NoSpacing"/>
        <w:rPr>
          <w:rFonts w:ascii="Times New Roman" w:hAnsi="Times New Roman"/>
          <w:sz w:val="24"/>
          <w:szCs w:val="24"/>
        </w:rPr>
      </w:pPr>
      <w:r w:rsidRPr="00CE3D04">
        <w:rPr>
          <w:rFonts w:ascii="Times New Roman" w:hAnsi="Times New Roman"/>
          <w:sz w:val="24"/>
          <w:szCs w:val="24"/>
        </w:rPr>
        <w:t>2) Student D is applying to the National Center for Health Statistics for use of</w:t>
      </w:r>
      <w:r>
        <w:rPr>
          <w:rFonts w:ascii="Times New Roman" w:hAnsi="Times New Roman"/>
          <w:sz w:val="24"/>
          <w:szCs w:val="24"/>
        </w:rPr>
        <w:t xml:space="preserve"> </w:t>
      </w:r>
      <w:r w:rsidRPr="00CE3D04">
        <w:rPr>
          <w:rFonts w:ascii="Times New Roman" w:hAnsi="Times New Roman"/>
          <w:sz w:val="24"/>
          <w:szCs w:val="24"/>
        </w:rPr>
        <w:t>data from the National Health and Nutrition Examination Survey that includes</w:t>
      </w:r>
      <w:r>
        <w:rPr>
          <w:rFonts w:ascii="Times New Roman" w:hAnsi="Times New Roman"/>
          <w:sz w:val="24"/>
          <w:szCs w:val="24"/>
        </w:rPr>
        <w:t xml:space="preserve"> </w:t>
      </w:r>
      <w:r w:rsidRPr="00CE3D04">
        <w:rPr>
          <w:rFonts w:ascii="Times New Roman" w:hAnsi="Times New Roman"/>
          <w:sz w:val="24"/>
          <w:szCs w:val="24"/>
        </w:rPr>
        <w:t>geographic identifiers and date of examination. The analysis of this restricted</w:t>
      </w:r>
      <w:r>
        <w:rPr>
          <w:rFonts w:ascii="Times New Roman" w:hAnsi="Times New Roman"/>
          <w:sz w:val="24"/>
          <w:szCs w:val="24"/>
        </w:rPr>
        <w:t xml:space="preserve"> </w:t>
      </w:r>
      <w:r w:rsidRPr="00CE3D04">
        <w:rPr>
          <w:rFonts w:ascii="Times New Roman" w:hAnsi="Times New Roman"/>
          <w:sz w:val="24"/>
          <w:szCs w:val="24"/>
        </w:rPr>
        <w:t xml:space="preserve">use data would require an </w:t>
      </w:r>
      <w:r>
        <w:rPr>
          <w:rFonts w:ascii="Times New Roman" w:hAnsi="Times New Roman"/>
          <w:sz w:val="24"/>
          <w:szCs w:val="24"/>
        </w:rPr>
        <w:t xml:space="preserve">initial </w:t>
      </w:r>
    </w:p>
    <w:p w14:paraId="66A50890" w14:textId="77777777" w:rsidR="00CE3D04" w:rsidRDefault="00CE3D04" w:rsidP="00CE3D04">
      <w:pPr>
        <w:pStyle w:val="NoSpacing"/>
        <w:rPr>
          <w:rFonts w:ascii="Times New Roman" w:hAnsi="Times New Roman"/>
          <w:sz w:val="24"/>
          <w:szCs w:val="24"/>
        </w:rPr>
      </w:pPr>
      <w:r>
        <w:rPr>
          <w:rFonts w:ascii="Times New Roman" w:hAnsi="Times New Roman"/>
          <w:sz w:val="24"/>
          <w:szCs w:val="24"/>
        </w:rPr>
        <w:lastRenderedPageBreak/>
        <w:t>submission</w:t>
      </w:r>
      <w:r w:rsidRPr="00CE3D04">
        <w:rPr>
          <w:rFonts w:ascii="Times New Roman" w:hAnsi="Times New Roman"/>
          <w:sz w:val="24"/>
          <w:szCs w:val="24"/>
        </w:rPr>
        <w:t xml:space="preserve"> application to be submitted in </w:t>
      </w:r>
      <w:r>
        <w:rPr>
          <w:rFonts w:ascii="Times New Roman" w:hAnsi="Times New Roman"/>
          <w:sz w:val="24"/>
          <w:szCs w:val="24"/>
        </w:rPr>
        <w:t>Cayuse</w:t>
      </w:r>
      <w:r w:rsidRPr="00CE3D04">
        <w:rPr>
          <w:rFonts w:ascii="Times New Roman" w:hAnsi="Times New Roman"/>
          <w:sz w:val="24"/>
          <w:szCs w:val="24"/>
        </w:rPr>
        <w:t xml:space="preserve"> for expedited or full board</w:t>
      </w:r>
      <w:r>
        <w:rPr>
          <w:rFonts w:ascii="Times New Roman" w:hAnsi="Times New Roman"/>
          <w:sz w:val="24"/>
          <w:szCs w:val="24"/>
        </w:rPr>
        <w:t xml:space="preserve"> </w:t>
      </w:r>
      <w:r w:rsidRPr="00CE3D04">
        <w:rPr>
          <w:rFonts w:ascii="Times New Roman" w:hAnsi="Times New Roman"/>
          <w:sz w:val="24"/>
          <w:szCs w:val="24"/>
        </w:rPr>
        <w:t>review by the IRB.</w:t>
      </w:r>
    </w:p>
    <w:p w14:paraId="4E9F1ED0" w14:textId="68EE2E8F" w:rsidR="00CE3D04" w:rsidRDefault="00CE3D04" w:rsidP="00CE3D04">
      <w:pPr>
        <w:pStyle w:val="NoSpacing"/>
        <w:rPr>
          <w:rFonts w:ascii="Times New Roman" w:hAnsi="Times New Roman"/>
          <w:sz w:val="24"/>
          <w:szCs w:val="24"/>
        </w:rPr>
      </w:pPr>
    </w:p>
    <w:p w14:paraId="047F070F" w14:textId="62325558" w:rsidR="006923ED" w:rsidRDefault="006923ED" w:rsidP="006923ED">
      <w:pPr>
        <w:pStyle w:val="NoSpacing"/>
        <w:rPr>
          <w:rFonts w:ascii="Times New Roman" w:hAnsi="Times New Roman"/>
          <w:b/>
          <w:bCs/>
          <w:sz w:val="24"/>
          <w:szCs w:val="24"/>
        </w:rPr>
      </w:pPr>
      <w:r w:rsidRPr="006923ED">
        <w:rPr>
          <w:rFonts w:ascii="Times New Roman" w:hAnsi="Times New Roman"/>
          <w:b/>
          <w:bCs/>
          <w:sz w:val="24"/>
          <w:szCs w:val="24"/>
        </w:rPr>
        <w:t>Secondary Data Research Classification</w:t>
      </w:r>
    </w:p>
    <w:p w14:paraId="4000F3F3" w14:textId="77777777" w:rsidR="006923ED" w:rsidRPr="006923ED" w:rsidRDefault="006923ED" w:rsidP="006923ED">
      <w:pPr>
        <w:pStyle w:val="NoSpacing"/>
        <w:rPr>
          <w:rFonts w:ascii="Times New Roman" w:hAnsi="Times New Roman"/>
          <w:b/>
          <w:bCs/>
          <w:sz w:val="24"/>
          <w:szCs w:val="24"/>
        </w:rPr>
      </w:pPr>
    </w:p>
    <w:p w14:paraId="183E8233" w14:textId="7F9B8917" w:rsidR="006923ED" w:rsidRDefault="006923ED" w:rsidP="006923ED">
      <w:pPr>
        <w:pStyle w:val="NoSpacing"/>
        <w:rPr>
          <w:rFonts w:ascii="Times New Roman" w:hAnsi="Times New Roman"/>
          <w:sz w:val="24"/>
          <w:szCs w:val="24"/>
        </w:rPr>
      </w:pPr>
      <w:r w:rsidRPr="006923ED">
        <w:rPr>
          <w:rFonts w:ascii="Times New Roman" w:hAnsi="Times New Roman"/>
          <w:sz w:val="24"/>
          <w:szCs w:val="24"/>
        </w:rPr>
        <w:t>When is secondary data (e.g., medical records, purchased data, data from the Internet, etc.) considered research with humans? Research involving secondary data analysis is considered research with humans when data about individuals is both private and identifiable.</w:t>
      </w:r>
    </w:p>
    <w:p w14:paraId="0CE73311" w14:textId="77777777" w:rsidR="006923ED" w:rsidRPr="006923ED" w:rsidRDefault="006923ED" w:rsidP="006923ED">
      <w:pPr>
        <w:pStyle w:val="NoSpacing"/>
        <w:rPr>
          <w:rFonts w:ascii="Times New Roman" w:hAnsi="Times New Roman"/>
          <w:sz w:val="24"/>
          <w:szCs w:val="24"/>
        </w:rPr>
      </w:pPr>
    </w:p>
    <w:p w14:paraId="31159766" w14:textId="1C9EC275" w:rsidR="006923ED" w:rsidRDefault="006923ED" w:rsidP="006923ED">
      <w:pPr>
        <w:pStyle w:val="NoSpacing"/>
        <w:rPr>
          <w:rFonts w:ascii="Times New Roman" w:hAnsi="Times New Roman"/>
          <w:b/>
          <w:bCs/>
          <w:sz w:val="24"/>
          <w:szCs w:val="24"/>
        </w:rPr>
      </w:pPr>
      <w:r w:rsidRPr="006923ED">
        <w:rPr>
          <w:rFonts w:ascii="Times New Roman" w:hAnsi="Times New Roman"/>
          <w:b/>
          <w:bCs/>
          <w:sz w:val="24"/>
          <w:szCs w:val="24"/>
        </w:rPr>
        <w:t>Projects that are unlikely to be human research because they involve only:</w:t>
      </w:r>
    </w:p>
    <w:p w14:paraId="1196CD96" w14:textId="77777777" w:rsidR="006923ED" w:rsidRPr="006923ED" w:rsidRDefault="006923ED" w:rsidP="006923ED">
      <w:pPr>
        <w:pStyle w:val="NoSpacing"/>
        <w:rPr>
          <w:rFonts w:ascii="Times New Roman" w:hAnsi="Times New Roman"/>
          <w:sz w:val="24"/>
          <w:szCs w:val="24"/>
        </w:rPr>
      </w:pPr>
    </w:p>
    <w:p w14:paraId="245DF8BA" w14:textId="77777777" w:rsidR="006923ED" w:rsidRPr="006923ED" w:rsidRDefault="006923ED" w:rsidP="006923ED">
      <w:pPr>
        <w:pStyle w:val="NoSpacing"/>
        <w:numPr>
          <w:ilvl w:val="0"/>
          <w:numId w:val="24"/>
        </w:numPr>
        <w:rPr>
          <w:rFonts w:ascii="Times New Roman" w:hAnsi="Times New Roman"/>
          <w:sz w:val="24"/>
          <w:szCs w:val="24"/>
        </w:rPr>
      </w:pPr>
      <w:r w:rsidRPr="006923ED">
        <w:rPr>
          <w:rFonts w:ascii="Times New Roman" w:hAnsi="Times New Roman"/>
          <w:sz w:val="24"/>
          <w:szCs w:val="24"/>
        </w:rPr>
        <w:t>Public use data sets such as data from the National Center for Health Statistics-data is available to the public at large and not restricted to researchers.</w:t>
      </w:r>
    </w:p>
    <w:p w14:paraId="441BB4C9" w14:textId="77777777" w:rsidR="006923ED" w:rsidRPr="006923ED" w:rsidRDefault="006923ED" w:rsidP="006923ED">
      <w:pPr>
        <w:pStyle w:val="NoSpacing"/>
        <w:numPr>
          <w:ilvl w:val="0"/>
          <w:numId w:val="24"/>
        </w:numPr>
        <w:rPr>
          <w:rFonts w:ascii="Times New Roman" w:hAnsi="Times New Roman"/>
          <w:sz w:val="24"/>
          <w:szCs w:val="24"/>
        </w:rPr>
      </w:pPr>
      <w:r w:rsidRPr="006923ED">
        <w:rPr>
          <w:rFonts w:ascii="Times New Roman" w:hAnsi="Times New Roman"/>
          <w:sz w:val="24"/>
          <w:szCs w:val="24"/>
        </w:rPr>
        <w:t>Data sets from an outside source that have been stripped of all identifying information and of links back to identifiers before being provided to researcher.</w:t>
      </w:r>
    </w:p>
    <w:p w14:paraId="75F36C37" w14:textId="77777777" w:rsidR="006923ED" w:rsidRPr="006923ED" w:rsidRDefault="006923ED" w:rsidP="006923ED">
      <w:pPr>
        <w:pStyle w:val="NoSpacing"/>
        <w:numPr>
          <w:ilvl w:val="0"/>
          <w:numId w:val="24"/>
        </w:numPr>
        <w:rPr>
          <w:rFonts w:ascii="Times New Roman" w:hAnsi="Times New Roman"/>
          <w:sz w:val="24"/>
          <w:szCs w:val="24"/>
        </w:rPr>
      </w:pPr>
      <w:r w:rsidRPr="006923ED">
        <w:rPr>
          <w:rFonts w:ascii="Times New Roman" w:hAnsi="Times New Roman"/>
          <w:sz w:val="24"/>
          <w:szCs w:val="24"/>
        </w:rPr>
        <w:t>Facebook public profiles found from Google searches.</w:t>
      </w:r>
    </w:p>
    <w:p w14:paraId="168B7B16" w14:textId="77777777" w:rsidR="006923ED" w:rsidRPr="006923ED" w:rsidRDefault="006923ED" w:rsidP="006923ED">
      <w:pPr>
        <w:pStyle w:val="NoSpacing"/>
        <w:numPr>
          <w:ilvl w:val="0"/>
          <w:numId w:val="24"/>
        </w:numPr>
        <w:rPr>
          <w:rFonts w:ascii="Times New Roman" w:hAnsi="Times New Roman"/>
          <w:sz w:val="24"/>
          <w:szCs w:val="24"/>
        </w:rPr>
      </w:pPr>
      <w:r w:rsidRPr="006923ED">
        <w:rPr>
          <w:rFonts w:ascii="Times New Roman" w:hAnsi="Times New Roman"/>
          <w:sz w:val="24"/>
          <w:szCs w:val="24"/>
        </w:rPr>
        <w:t>Twitter tweets not in a private setting.</w:t>
      </w:r>
    </w:p>
    <w:p w14:paraId="7FFDAD44" w14:textId="6159A71E" w:rsidR="006923ED" w:rsidRDefault="006923ED" w:rsidP="006923ED">
      <w:pPr>
        <w:pStyle w:val="NoSpacing"/>
        <w:numPr>
          <w:ilvl w:val="0"/>
          <w:numId w:val="24"/>
        </w:numPr>
        <w:rPr>
          <w:rFonts w:ascii="Times New Roman" w:hAnsi="Times New Roman"/>
          <w:sz w:val="24"/>
          <w:szCs w:val="24"/>
        </w:rPr>
      </w:pPr>
      <w:r w:rsidRPr="006923ED">
        <w:rPr>
          <w:rFonts w:ascii="Times New Roman" w:hAnsi="Times New Roman"/>
          <w:sz w:val="24"/>
          <w:szCs w:val="24"/>
        </w:rPr>
        <w:t>Publicly accessible forums or comments sections where users have no expectation of privacy (e.g., New York Times, YouTube, etc.).</w:t>
      </w:r>
    </w:p>
    <w:p w14:paraId="476D0982" w14:textId="77777777" w:rsidR="006923ED" w:rsidRPr="006923ED" w:rsidRDefault="006923ED" w:rsidP="006923ED">
      <w:pPr>
        <w:pStyle w:val="NoSpacing"/>
        <w:ind w:left="720"/>
        <w:rPr>
          <w:rFonts w:ascii="Times New Roman" w:hAnsi="Times New Roman"/>
          <w:sz w:val="24"/>
          <w:szCs w:val="24"/>
        </w:rPr>
      </w:pPr>
    </w:p>
    <w:p w14:paraId="41ED0556" w14:textId="3D129160" w:rsidR="006923ED" w:rsidRDefault="006923ED" w:rsidP="006923ED">
      <w:pPr>
        <w:pStyle w:val="NoSpacing"/>
        <w:rPr>
          <w:rFonts w:ascii="Times New Roman" w:hAnsi="Times New Roman"/>
          <w:b/>
          <w:bCs/>
          <w:sz w:val="24"/>
          <w:szCs w:val="24"/>
        </w:rPr>
      </w:pPr>
      <w:r w:rsidRPr="006923ED">
        <w:rPr>
          <w:rFonts w:ascii="Times New Roman" w:hAnsi="Times New Roman"/>
          <w:b/>
          <w:bCs/>
          <w:sz w:val="24"/>
          <w:szCs w:val="24"/>
        </w:rPr>
        <w:t>Projects that might be human research because they involve:</w:t>
      </w:r>
    </w:p>
    <w:p w14:paraId="0C5FDEDA" w14:textId="77777777" w:rsidR="006923ED" w:rsidRPr="006923ED" w:rsidRDefault="006923ED" w:rsidP="006923ED">
      <w:pPr>
        <w:pStyle w:val="NoSpacing"/>
        <w:rPr>
          <w:rFonts w:ascii="Times New Roman" w:hAnsi="Times New Roman"/>
          <w:sz w:val="24"/>
          <w:szCs w:val="24"/>
        </w:rPr>
      </w:pPr>
    </w:p>
    <w:p w14:paraId="3CF282FE" w14:textId="77777777" w:rsidR="006923ED" w:rsidRPr="006923ED" w:rsidRDefault="006923ED" w:rsidP="006923ED">
      <w:pPr>
        <w:pStyle w:val="NoSpacing"/>
        <w:numPr>
          <w:ilvl w:val="0"/>
          <w:numId w:val="25"/>
        </w:numPr>
        <w:rPr>
          <w:rFonts w:ascii="Times New Roman" w:hAnsi="Times New Roman"/>
          <w:sz w:val="24"/>
          <w:szCs w:val="24"/>
        </w:rPr>
      </w:pPr>
      <w:r w:rsidRPr="006923ED">
        <w:rPr>
          <w:rFonts w:ascii="Times New Roman" w:hAnsi="Times New Roman"/>
          <w:sz w:val="24"/>
          <w:szCs w:val="24"/>
        </w:rPr>
        <w:t>Purchasing/obtaining enhanced data sets-data on individuals which may include enough information to potentially identify the individuals. This would include data sets where the owner or vendor requires local IRB approval and a data use agreement prior to allowing access to the data.</w:t>
      </w:r>
    </w:p>
    <w:p w14:paraId="3E982071" w14:textId="77777777" w:rsidR="006923ED" w:rsidRPr="006923ED" w:rsidRDefault="006923ED" w:rsidP="006923ED">
      <w:pPr>
        <w:pStyle w:val="NoSpacing"/>
        <w:numPr>
          <w:ilvl w:val="0"/>
          <w:numId w:val="25"/>
        </w:numPr>
        <w:rPr>
          <w:rFonts w:ascii="Times New Roman" w:hAnsi="Times New Roman"/>
          <w:sz w:val="24"/>
          <w:szCs w:val="24"/>
        </w:rPr>
      </w:pPr>
      <w:r w:rsidRPr="006923ED">
        <w:rPr>
          <w:rFonts w:ascii="Times New Roman" w:hAnsi="Times New Roman"/>
          <w:sz w:val="24"/>
          <w:szCs w:val="24"/>
        </w:rPr>
        <w:t>Certain agencies and research organizations release files to researchers with specific restrictions regarding their use and storage. The records frequently contain identifiers or extensive variables that combined might enable identification, even though this is not the intent of the researcher. Research using these data sets most often requires expedited or full committee review.</w:t>
      </w:r>
    </w:p>
    <w:p w14:paraId="6D21648B" w14:textId="77777777" w:rsidR="006923ED" w:rsidRPr="006923ED" w:rsidRDefault="006923ED" w:rsidP="006923ED">
      <w:pPr>
        <w:pStyle w:val="NoSpacing"/>
        <w:numPr>
          <w:ilvl w:val="0"/>
          <w:numId w:val="25"/>
        </w:numPr>
        <w:rPr>
          <w:rFonts w:ascii="Times New Roman" w:hAnsi="Times New Roman"/>
          <w:sz w:val="24"/>
          <w:szCs w:val="24"/>
        </w:rPr>
      </w:pPr>
      <w:r w:rsidRPr="006923ED">
        <w:rPr>
          <w:rFonts w:ascii="Times New Roman" w:hAnsi="Times New Roman"/>
          <w:sz w:val="24"/>
          <w:szCs w:val="24"/>
        </w:rPr>
        <w:t>Receipt of coded data where data holder has code key-depending on whether the data holder only provides data or is a collaborator in the research, and whether an agreement between institutions prohibits receiver from ever receiving identifiers, etc.</w:t>
      </w:r>
    </w:p>
    <w:p w14:paraId="351B0C00" w14:textId="5A3F56C6" w:rsidR="006923ED" w:rsidRDefault="006923ED" w:rsidP="006923ED">
      <w:pPr>
        <w:pStyle w:val="NoSpacing"/>
        <w:numPr>
          <w:ilvl w:val="0"/>
          <w:numId w:val="25"/>
        </w:numPr>
        <w:rPr>
          <w:rFonts w:ascii="Times New Roman" w:hAnsi="Times New Roman"/>
          <w:sz w:val="24"/>
          <w:szCs w:val="24"/>
        </w:rPr>
      </w:pPr>
      <w:r w:rsidRPr="006923ED">
        <w:rPr>
          <w:rFonts w:ascii="Times New Roman" w:hAnsi="Times New Roman"/>
          <w:sz w:val="24"/>
          <w:szCs w:val="24"/>
        </w:rPr>
        <w:t>Forums or chats where users must register as belonging to a certain group (e.g., cancer survivors) or housed in areas that are not public, e.g., where special passwords are needed to join.</w:t>
      </w:r>
    </w:p>
    <w:p w14:paraId="4AF0C198" w14:textId="77777777" w:rsidR="006923ED" w:rsidRPr="006923ED" w:rsidRDefault="006923ED" w:rsidP="006923ED">
      <w:pPr>
        <w:pStyle w:val="NoSpacing"/>
        <w:ind w:left="720"/>
        <w:rPr>
          <w:rFonts w:ascii="Times New Roman" w:hAnsi="Times New Roman"/>
          <w:sz w:val="24"/>
          <w:szCs w:val="24"/>
        </w:rPr>
      </w:pPr>
      <w:bookmarkStart w:id="2" w:name="_GoBack"/>
      <w:bookmarkEnd w:id="2"/>
    </w:p>
    <w:p w14:paraId="69A83E3B" w14:textId="54F515E7" w:rsidR="006923ED" w:rsidRDefault="006923ED" w:rsidP="006923ED">
      <w:pPr>
        <w:pStyle w:val="NoSpacing"/>
        <w:rPr>
          <w:rFonts w:ascii="Times New Roman" w:hAnsi="Times New Roman"/>
          <w:b/>
          <w:bCs/>
          <w:sz w:val="24"/>
          <w:szCs w:val="24"/>
        </w:rPr>
      </w:pPr>
      <w:r w:rsidRPr="006923ED">
        <w:rPr>
          <w:rFonts w:ascii="Times New Roman" w:hAnsi="Times New Roman"/>
          <w:b/>
          <w:bCs/>
          <w:sz w:val="24"/>
          <w:szCs w:val="24"/>
        </w:rPr>
        <w:t>Projects that are human research because they involve:</w:t>
      </w:r>
    </w:p>
    <w:p w14:paraId="59562E69" w14:textId="77777777" w:rsidR="006923ED" w:rsidRPr="006923ED" w:rsidRDefault="006923ED" w:rsidP="006923ED">
      <w:pPr>
        <w:pStyle w:val="NoSpacing"/>
        <w:rPr>
          <w:rFonts w:ascii="Times New Roman" w:hAnsi="Times New Roman"/>
          <w:sz w:val="24"/>
          <w:szCs w:val="24"/>
        </w:rPr>
      </w:pPr>
    </w:p>
    <w:p w14:paraId="76683C4A" w14:textId="77777777" w:rsidR="006923ED" w:rsidRPr="006923ED" w:rsidRDefault="006923ED" w:rsidP="006923ED">
      <w:pPr>
        <w:pStyle w:val="NoSpacing"/>
        <w:numPr>
          <w:ilvl w:val="0"/>
          <w:numId w:val="26"/>
        </w:numPr>
        <w:rPr>
          <w:rFonts w:ascii="Times New Roman" w:hAnsi="Times New Roman"/>
          <w:sz w:val="24"/>
          <w:szCs w:val="24"/>
        </w:rPr>
      </w:pPr>
      <w:r w:rsidRPr="006923ED">
        <w:rPr>
          <w:rFonts w:ascii="Times New Roman" w:hAnsi="Times New Roman"/>
          <w:sz w:val="24"/>
          <w:szCs w:val="24"/>
        </w:rPr>
        <w:t>Private data sets obtained with identifiers (e.g., traffic violation data with driver's license numbers, survey data with email addresses, medical records with protected health information [PHI], restricted use datasets, etc.).</w:t>
      </w:r>
    </w:p>
    <w:p w14:paraId="17DDE171" w14:textId="77777777" w:rsidR="006923ED" w:rsidRPr="006923ED" w:rsidRDefault="006923ED" w:rsidP="006923ED">
      <w:pPr>
        <w:pStyle w:val="NoSpacing"/>
        <w:numPr>
          <w:ilvl w:val="0"/>
          <w:numId w:val="26"/>
        </w:numPr>
        <w:rPr>
          <w:rFonts w:ascii="Times New Roman" w:hAnsi="Times New Roman"/>
          <w:sz w:val="24"/>
          <w:szCs w:val="24"/>
        </w:rPr>
      </w:pPr>
      <w:r w:rsidRPr="006923ED">
        <w:rPr>
          <w:rFonts w:ascii="Times New Roman" w:hAnsi="Times New Roman"/>
          <w:sz w:val="24"/>
          <w:szCs w:val="24"/>
        </w:rPr>
        <w:t xml:space="preserve">Stolen, hacked, accidentally released data about individuals-although data may now be publicly available (such as on the surface web or the dark web), the individuals whom the data is about had expectation of privacy, i.e., that the data would not be hacked, stolen, </w:t>
      </w:r>
      <w:r w:rsidRPr="006923ED">
        <w:rPr>
          <w:rFonts w:ascii="Times New Roman" w:hAnsi="Times New Roman"/>
          <w:sz w:val="24"/>
          <w:szCs w:val="24"/>
        </w:rPr>
        <w:lastRenderedPageBreak/>
        <w:t>etc. Human research must be reviewed and either determined exempt or obtain University IRB approval before the research begins.</w:t>
      </w:r>
    </w:p>
    <w:p w14:paraId="147D01EA" w14:textId="77777777" w:rsidR="006923ED" w:rsidRPr="00CE3D04" w:rsidRDefault="006923ED" w:rsidP="00CE3D04">
      <w:pPr>
        <w:pStyle w:val="NoSpacing"/>
        <w:rPr>
          <w:rFonts w:ascii="Times New Roman" w:hAnsi="Times New Roman"/>
          <w:sz w:val="24"/>
          <w:szCs w:val="24"/>
        </w:rPr>
      </w:pPr>
    </w:p>
    <w:sectPr w:rsidR="006923ED" w:rsidRPr="00CE3D04" w:rsidSect="0016392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C0A6A" w14:textId="77777777" w:rsidR="00057757" w:rsidRDefault="00057757" w:rsidP="00D72DE6">
      <w:r>
        <w:separator/>
      </w:r>
    </w:p>
  </w:endnote>
  <w:endnote w:type="continuationSeparator" w:id="0">
    <w:p w14:paraId="7EC780C1" w14:textId="77777777" w:rsidR="00057757" w:rsidRDefault="00057757" w:rsidP="00D7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1F01C" w14:textId="4C006DA8" w:rsidR="00C633EB" w:rsidRDefault="00C633EB">
    <w:pPr>
      <w:pStyle w:val="Footer"/>
    </w:pPr>
    <w:r>
      <w:t xml:space="preserve">TCU </w:t>
    </w:r>
    <w:r w:rsidR="00FC2C2C">
      <w:t>6</w:t>
    </w:r>
    <w:r>
      <w:t>.202</w:t>
    </w:r>
    <w:r w:rsidR="00CE3D04">
      <w:t>3</w:t>
    </w:r>
  </w:p>
  <w:p w14:paraId="73254A8B" w14:textId="77777777" w:rsidR="00C633EB" w:rsidRPr="00C72819" w:rsidRDefault="00C633EB">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AF67D" w14:textId="77777777" w:rsidR="00057757" w:rsidRDefault="00057757" w:rsidP="00D72DE6">
      <w:r>
        <w:separator/>
      </w:r>
    </w:p>
  </w:footnote>
  <w:footnote w:type="continuationSeparator" w:id="0">
    <w:p w14:paraId="6DD323E9" w14:textId="77777777" w:rsidR="00057757" w:rsidRDefault="00057757" w:rsidP="00D72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6A7A"/>
    <w:multiLevelType w:val="hybridMultilevel"/>
    <w:tmpl w:val="541AC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B20C4"/>
    <w:multiLevelType w:val="hybridMultilevel"/>
    <w:tmpl w:val="0AF001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C80150"/>
    <w:multiLevelType w:val="hybridMultilevel"/>
    <w:tmpl w:val="DCC4D80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DEF112F"/>
    <w:multiLevelType w:val="hybridMultilevel"/>
    <w:tmpl w:val="B8D088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C35D76"/>
    <w:multiLevelType w:val="hybridMultilevel"/>
    <w:tmpl w:val="868ABC92"/>
    <w:lvl w:ilvl="0" w:tplc="04090001">
      <w:start w:val="1"/>
      <w:numFmt w:val="bullet"/>
      <w:lvlText w:val=""/>
      <w:lvlJc w:val="left"/>
      <w:pPr>
        <w:ind w:left="720" w:hanging="360"/>
      </w:pPr>
      <w:rPr>
        <w:rFonts w:ascii="Symbol" w:hAnsi="Symbol" w:hint="default"/>
      </w:rPr>
    </w:lvl>
    <w:lvl w:ilvl="1" w:tplc="A042AAF0">
      <w:numFmt w:val="bullet"/>
      <w:lvlText w:val=""/>
      <w:lvlJc w:val="left"/>
      <w:pPr>
        <w:ind w:left="1440" w:hanging="360"/>
      </w:pPr>
      <w:rPr>
        <w:rFonts w:ascii="Symbol" w:eastAsia="Times New Roman" w:hAnsi="Symbol"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C0487"/>
    <w:multiLevelType w:val="multilevel"/>
    <w:tmpl w:val="D7265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3C38F0"/>
    <w:multiLevelType w:val="hybridMultilevel"/>
    <w:tmpl w:val="317EF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256292"/>
    <w:multiLevelType w:val="hybridMultilevel"/>
    <w:tmpl w:val="A1D01A1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326C41"/>
    <w:multiLevelType w:val="multilevel"/>
    <w:tmpl w:val="B0A2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883830"/>
    <w:multiLevelType w:val="hybridMultilevel"/>
    <w:tmpl w:val="88048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0A7E31"/>
    <w:multiLevelType w:val="hybridMultilevel"/>
    <w:tmpl w:val="C55C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8071C2"/>
    <w:multiLevelType w:val="hybridMultilevel"/>
    <w:tmpl w:val="F468C6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70F2880"/>
    <w:multiLevelType w:val="hybridMultilevel"/>
    <w:tmpl w:val="9DE4D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E15821"/>
    <w:multiLevelType w:val="hybridMultilevel"/>
    <w:tmpl w:val="3F30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65099E"/>
    <w:multiLevelType w:val="hybridMultilevel"/>
    <w:tmpl w:val="497C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50296E"/>
    <w:multiLevelType w:val="hybridMultilevel"/>
    <w:tmpl w:val="2346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0F0BA1"/>
    <w:multiLevelType w:val="hybridMultilevel"/>
    <w:tmpl w:val="A096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DB5C97"/>
    <w:multiLevelType w:val="hybridMultilevel"/>
    <w:tmpl w:val="9C8C2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64D70FB"/>
    <w:multiLevelType w:val="hybridMultilevel"/>
    <w:tmpl w:val="4654837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B352C85"/>
    <w:multiLevelType w:val="hybridMultilevel"/>
    <w:tmpl w:val="5AFC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EA1D23"/>
    <w:multiLevelType w:val="hybridMultilevel"/>
    <w:tmpl w:val="310C0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46443E"/>
    <w:multiLevelType w:val="hybridMultilevel"/>
    <w:tmpl w:val="642E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6279E8"/>
    <w:multiLevelType w:val="hybridMultilevel"/>
    <w:tmpl w:val="17D8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706703"/>
    <w:multiLevelType w:val="hybridMultilevel"/>
    <w:tmpl w:val="417CA25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15:restartNumberingAfterBreak="0">
    <w:nsid w:val="7AED2646"/>
    <w:multiLevelType w:val="hybridMultilevel"/>
    <w:tmpl w:val="F77CDC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3E4E25"/>
    <w:multiLevelType w:val="multilevel"/>
    <w:tmpl w:val="4294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0"/>
  </w:num>
  <w:num w:numId="3">
    <w:abstractNumId w:val="1"/>
  </w:num>
  <w:num w:numId="4">
    <w:abstractNumId w:val="24"/>
  </w:num>
  <w:num w:numId="5">
    <w:abstractNumId w:val="7"/>
  </w:num>
  <w:num w:numId="6">
    <w:abstractNumId w:val="17"/>
  </w:num>
  <w:num w:numId="7">
    <w:abstractNumId w:val="15"/>
  </w:num>
  <w:num w:numId="8">
    <w:abstractNumId w:val="21"/>
  </w:num>
  <w:num w:numId="9">
    <w:abstractNumId w:val="16"/>
  </w:num>
  <w:num w:numId="10">
    <w:abstractNumId w:val="4"/>
  </w:num>
  <w:num w:numId="11">
    <w:abstractNumId w:val="11"/>
  </w:num>
  <w:num w:numId="12">
    <w:abstractNumId w:val="3"/>
  </w:num>
  <w:num w:numId="13">
    <w:abstractNumId w:val="18"/>
  </w:num>
  <w:num w:numId="14">
    <w:abstractNumId w:val="19"/>
  </w:num>
  <w:num w:numId="15">
    <w:abstractNumId w:val="13"/>
  </w:num>
  <w:num w:numId="16">
    <w:abstractNumId w:val="22"/>
  </w:num>
  <w:num w:numId="17">
    <w:abstractNumId w:val="14"/>
  </w:num>
  <w:num w:numId="18">
    <w:abstractNumId w:val="10"/>
  </w:num>
  <w:num w:numId="19">
    <w:abstractNumId w:val="0"/>
  </w:num>
  <w:num w:numId="20">
    <w:abstractNumId w:val="2"/>
  </w:num>
  <w:num w:numId="21">
    <w:abstractNumId w:val="9"/>
  </w:num>
  <w:num w:numId="22">
    <w:abstractNumId w:val="23"/>
  </w:num>
  <w:num w:numId="23">
    <w:abstractNumId w:val="6"/>
  </w:num>
  <w:num w:numId="24">
    <w:abstractNumId w:val="8"/>
  </w:num>
  <w:num w:numId="25">
    <w:abstractNumId w:val="5"/>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lickAndTypeStyle w:val="NoSpac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ytDAyNrU0MDYxsTRQ0lEKTi0uzszPAykwNK4FANZJ6hotAAAA"/>
  </w:docVars>
  <w:rsids>
    <w:rsidRoot w:val="004E727F"/>
    <w:rsid w:val="0000185B"/>
    <w:rsid w:val="00004DEF"/>
    <w:rsid w:val="00006C67"/>
    <w:rsid w:val="000154A2"/>
    <w:rsid w:val="00023AFB"/>
    <w:rsid w:val="00023EE1"/>
    <w:rsid w:val="00036C9B"/>
    <w:rsid w:val="0004394E"/>
    <w:rsid w:val="000469D3"/>
    <w:rsid w:val="00051360"/>
    <w:rsid w:val="00057757"/>
    <w:rsid w:val="00076E72"/>
    <w:rsid w:val="00077A34"/>
    <w:rsid w:val="0009369F"/>
    <w:rsid w:val="000A2C10"/>
    <w:rsid w:val="000A41FC"/>
    <w:rsid w:val="000B2377"/>
    <w:rsid w:val="000B66A8"/>
    <w:rsid w:val="000B7EB7"/>
    <w:rsid w:val="000C028B"/>
    <w:rsid w:val="000C4528"/>
    <w:rsid w:val="000D26C3"/>
    <w:rsid w:val="000D3AD8"/>
    <w:rsid w:val="000E3751"/>
    <w:rsid w:val="000E4873"/>
    <w:rsid w:val="0010197F"/>
    <w:rsid w:val="00105ABD"/>
    <w:rsid w:val="00114EE9"/>
    <w:rsid w:val="00121B53"/>
    <w:rsid w:val="00131D7A"/>
    <w:rsid w:val="00132E73"/>
    <w:rsid w:val="001422F4"/>
    <w:rsid w:val="00142E64"/>
    <w:rsid w:val="00147297"/>
    <w:rsid w:val="001574FF"/>
    <w:rsid w:val="0016190A"/>
    <w:rsid w:val="00162A24"/>
    <w:rsid w:val="00163921"/>
    <w:rsid w:val="00167BF1"/>
    <w:rsid w:val="0017365A"/>
    <w:rsid w:val="00173CE1"/>
    <w:rsid w:val="00173F97"/>
    <w:rsid w:val="00174ED6"/>
    <w:rsid w:val="001756B5"/>
    <w:rsid w:val="00175F12"/>
    <w:rsid w:val="0017766E"/>
    <w:rsid w:val="00187283"/>
    <w:rsid w:val="00190071"/>
    <w:rsid w:val="00197F59"/>
    <w:rsid w:val="001A057C"/>
    <w:rsid w:val="001A1A95"/>
    <w:rsid w:val="001B2E12"/>
    <w:rsid w:val="001B7B11"/>
    <w:rsid w:val="001C3DCE"/>
    <w:rsid w:val="001D135A"/>
    <w:rsid w:val="001D468A"/>
    <w:rsid w:val="001D6D01"/>
    <w:rsid w:val="001D722D"/>
    <w:rsid w:val="001E65B9"/>
    <w:rsid w:val="001E70C0"/>
    <w:rsid w:val="00202C26"/>
    <w:rsid w:val="00213767"/>
    <w:rsid w:val="00215561"/>
    <w:rsid w:val="00221556"/>
    <w:rsid w:val="00224A82"/>
    <w:rsid w:val="00224DE3"/>
    <w:rsid w:val="00242C33"/>
    <w:rsid w:val="002456E7"/>
    <w:rsid w:val="00252D34"/>
    <w:rsid w:val="00257D92"/>
    <w:rsid w:val="002605B4"/>
    <w:rsid w:val="0026089C"/>
    <w:rsid w:val="00266887"/>
    <w:rsid w:val="002764A0"/>
    <w:rsid w:val="00284561"/>
    <w:rsid w:val="00293F27"/>
    <w:rsid w:val="00294A62"/>
    <w:rsid w:val="002A0445"/>
    <w:rsid w:val="002A6A91"/>
    <w:rsid w:val="002B6733"/>
    <w:rsid w:val="002B6A18"/>
    <w:rsid w:val="002C438C"/>
    <w:rsid w:val="002C6456"/>
    <w:rsid w:val="002C690D"/>
    <w:rsid w:val="002D5366"/>
    <w:rsid w:val="002E153A"/>
    <w:rsid w:val="002E2EBE"/>
    <w:rsid w:val="002E6758"/>
    <w:rsid w:val="002E798B"/>
    <w:rsid w:val="00304593"/>
    <w:rsid w:val="003052D2"/>
    <w:rsid w:val="00314322"/>
    <w:rsid w:val="0032020D"/>
    <w:rsid w:val="00323B93"/>
    <w:rsid w:val="00323D3F"/>
    <w:rsid w:val="00332898"/>
    <w:rsid w:val="0033379F"/>
    <w:rsid w:val="00336473"/>
    <w:rsid w:val="00354CB4"/>
    <w:rsid w:val="00357503"/>
    <w:rsid w:val="003645EB"/>
    <w:rsid w:val="00367C31"/>
    <w:rsid w:val="003702E5"/>
    <w:rsid w:val="003709CF"/>
    <w:rsid w:val="003810A6"/>
    <w:rsid w:val="00383B84"/>
    <w:rsid w:val="003840D6"/>
    <w:rsid w:val="0039364C"/>
    <w:rsid w:val="003B1123"/>
    <w:rsid w:val="003B387F"/>
    <w:rsid w:val="003C0E36"/>
    <w:rsid w:val="003C12BE"/>
    <w:rsid w:val="003C22C5"/>
    <w:rsid w:val="003C7A54"/>
    <w:rsid w:val="003D1121"/>
    <w:rsid w:val="003D19A2"/>
    <w:rsid w:val="003D47AD"/>
    <w:rsid w:val="003D7247"/>
    <w:rsid w:val="003D7773"/>
    <w:rsid w:val="003D78B6"/>
    <w:rsid w:val="003F0360"/>
    <w:rsid w:val="003F5A20"/>
    <w:rsid w:val="00402BF8"/>
    <w:rsid w:val="00404C3A"/>
    <w:rsid w:val="00405350"/>
    <w:rsid w:val="00414704"/>
    <w:rsid w:val="00424C60"/>
    <w:rsid w:val="00431A29"/>
    <w:rsid w:val="00445ECA"/>
    <w:rsid w:val="004626EC"/>
    <w:rsid w:val="00465E72"/>
    <w:rsid w:val="00467800"/>
    <w:rsid w:val="00473C9A"/>
    <w:rsid w:val="004759C7"/>
    <w:rsid w:val="00482C5B"/>
    <w:rsid w:val="00484218"/>
    <w:rsid w:val="004A6C6E"/>
    <w:rsid w:val="004B0527"/>
    <w:rsid w:val="004B3ED5"/>
    <w:rsid w:val="004C488D"/>
    <w:rsid w:val="004C7BE0"/>
    <w:rsid w:val="004D12F8"/>
    <w:rsid w:val="004D1C92"/>
    <w:rsid w:val="004E1C01"/>
    <w:rsid w:val="004E2050"/>
    <w:rsid w:val="004E3EC8"/>
    <w:rsid w:val="004E727F"/>
    <w:rsid w:val="004F2C5D"/>
    <w:rsid w:val="004F778F"/>
    <w:rsid w:val="00504C32"/>
    <w:rsid w:val="0051597B"/>
    <w:rsid w:val="00523AEC"/>
    <w:rsid w:val="0053206B"/>
    <w:rsid w:val="00542365"/>
    <w:rsid w:val="00546F9D"/>
    <w:rsid w:val="00553F99"/>
    <w:rsid w:val="00554D24"/>
    <w:rsid w:val="00555EE7"/>
    <w:rsid w:val="00564FF5"/>
    <w:rsid w:val="0058103F"/>
    <w:rsid w:val="00587BDC"/>
    <w:rsid w:val="005967EA"/>
    <w:rsid w:val="005A1C0F"/>
    <w:rsid w:val="005A2B0B"/>
    <w:rsid w:val="005A7212"/>
    <w:rsid w:val="005A7EF1"/>
    <w:rsid w:val="005B278B"/>
    <w:rsid w:val="005C0D91"/>
    <w:rsid w:val="005C5EB0"/>
    <w:rsid w:val="005D2B91"/>
    <w:rsid w:val="005D41A6"/>
    <w:rsid w:val="005E3F5B"/>
    <w:rsid w:val="005E60A5"/>
    <w:rsid w:val="005E7C6D"/>
    <w:rsid w:val="005E7C9D"/>
    <w:rsid w:val="005F07CF"/>
    <w:rsid w:val="006026AD"/>
    <w:rsid w:val="0060683E"/>
    <w:rsid w:val="006075F5"/>
    <w:rsid w:val="006207E2"/>
    <w:rsid w:val="0063319D"/>
    <w:rsid w:val="00643431"/>
    <w:rsid w:val="00643B3A"/>
    <w:rsid w:val="00644C22"/>
    <w:rsid w:val="0065667E"/>
    <w:rsid w:val="00657AEC"/>
    <w:rsid w:val="00661BBF"/>
    <w:rsid w:val="00680727"/>
    <w:rsid w:val="00686461"/>
    <w:rsid w:val="0069151E"/>
    <w:rsid w:val="006923ED"/>
    <w:rsid w:val="006A2459"/>
    <w:rsid w:val="006A6CBB"/>
    <w:rsid w:val="006B27F1"/>
    <w:rsid w:val="006C7F80"/>
    <w:rsid w:val="006D2CB5"/>
    <w:rsid w:val="006D7A4B"/>
    <w:rsid w:val="006E0531"/>
    <w:rsid w:val="006E0A2B"/>
    <w:rsid w:val="006E2507"/>
    <w:rsid w:val="006E546C"/>
    <w:rsid w:val="006E752C"/>
    <w:rsid w:val="006F29C6"/>
    <w:rsid w:val="006F4AFF"/>
    <w:rsid w:val="00704383"/>
    <w:rsid w:val="007075D6"/>
    <w:rsid w:val="007107AD"/>
    <w:rsid w:val="00714F11"/>
    <w:rsid w:val="00726492"/>
    <w:rsid w:val="00731DD0"/>
    <w:rsid w:val="007336DA"/>
    <w:rsid w:val="00733D6F"/>
    <w:rsid w:val="007467A7"/>
    <w:rsid w:val="007524CE"/>
    <w:rsid w:val="0075277D"/>
    <w:rsid w:val="00753C8C"/>
    <w:rsid w:val="0075405B"/>
    <w:rsid w:val="00757750"/>
    <w:rsid w:val="00760DFD"/>
    <w:rsid w:val="007679AC"/>
    <w:rsid w:val="00773753"/>
    <w:rsid w:val="007811EB"/>
    <w:rsid w:val="007932EE"/>
    <w:rsid w:val="00797FD9"/>
    <w:rsid w:val="007B1487"/>
    <w:rsid w:val="007B38AF"/>
    <w:rsid w:val="007B437A"/>
    <w:rsid w:val="007B7363"/>
    <w:rsid w:val="007C17E9"/>
    <w:rsid w:val="007D03B2"/>
    <w:rsid w:val="007D03DA"/>
    <w:rsid w:val="007D434A"/>
    <w:rsid w:val="007D4FB3"/>
    <w:rsid w:val="007D57FE"/>
    <w:rsid w:val="007D5B5D"/>
    <w:rsid w:val="007E398A"/>
    <w:rsid w:val="007E734A"/>
    <w:rsid w:val="007E7BEC"/>
    <w:rsid w:val="007F3538"/>
    <w:rsid w:val="007F4D0D"/>
    <w:rsid w:val="007F7AF9"/>
    <w:rsid w:val="00814A96"/>
    <w:rsid w:val="00817D80"/>
    <w:rsid w:val="00825D5B"/>
    <w:rsid w:val="00835F23"/>
    <w:rsid w:val="00840BF8"/>
    <w:rsid w:val="00842B40"/>
    <w:rsid w:val="00844275"/>
    <w:rsid w:val="0085431F"/>
    <w:rsid w:val="00856A26"/>
    <w:rsid w:val="008574A8"/>
    <w:rsid w:val="00864998"/>
    <w:rsid w:val="0086612F"/>
    <w:rsid w:val="008765C8"/>
    <w:rsid w:val="0087779C"/>
    <w:rsid w:val="00885573"/>
    <w:rsid w:val="0089093C"/>
    <w:rsid w:val="008946F4"/>
    <w:rsid w:val="008A2B60"/>
    <w:rsid w:val="008A3125"/>
    <w:rsid w:val="008A5283"/>
    <w:rsid w:val="008B0FEB"/>
    <w:rsid w:val="008B19F0"/>
    <w:rsid w:val="008B24DC"/>
    <w:rsid w:val="008B3A74"/>
    <w:rsid w:val="008B7C6C"/>
    <w:rsid w:val="008C3F43"/>
    <w:rsid w:val="008D1299"/>
    <w:rsid w:val="008D5DBB"/>
    <w:rsid w:val="008D7C0D"/>
    <w:rsid w:val="008E04A3"/>
    <w:rsid w:val="008E57D2"/>
    <w:rsid w:val="008F69BA"/>
    <w:rsid w:val="00905272"/>
    <w:rsid w:val="00913E87"/>
    <w:rsid w:val="0092359E"/>
    <w:rsid w:val="00926FF2"/>
    <w:rsid w:val="00934C7A"/>
    <w:rsid w:val="00950451"/>
    <w:rsid w:val="009506AA"/>
    <w:rsid w:val="00956638"/>
    <w:rsid w:val="00976C08"/>
    <w:rsid w:val="0098016A"/>
    <w:rsid w:val="009944D3"/>
    <w:rsid w:val="009A4A81"/>
    <w:rsid w:val="009B05F1"/>
    <w:rsid w:val="009B7361"/>
    <w:rsid w:val="009B79E3"/>
    <w:rsid w:val="009D348E"/>
    <w:rsid w:val="009D7972"/>
    <w:rsid w:val="009E1CB6"/>
    <w:rsid w:val="009E2390"/>
    <w:rsid w:val="009E55DC"/>
    <w:rsid w:val="009F0DD3"/>
    <w:rsid w:val="009F7F6C"/>
    <w:rsid w:val="00A021A2"/>
    <w:rsid w:val="00A03800"/>
    <w:rsid w:val="00A1050D"/>
    <w:rsid w:val="00A112AC"/>
    <w:rsid w:val="00A1277C"/>
    <w:rsid w:val="00A24E15"/>
    <w:rsid w:val="00A31CFC"/>
    <w:rsid w:val="00A33207"/>
    <w:rsid w:val="00A33FA7"/>
    <w:rsid w:val="00A42202"/>
    <w:rsid w:val="00A44DD5"/>
    <w:rsid w:val="00A47055"/>
    <w:rsid w:val="00A50C00"/>
    <w:rsid w:val="00A521CF"/>
    <w:rsid w:val="00A55BFF"/>
    <w:rsid w:val="00A71840"/>
    <w:rsid w:val="00A72455"/>
    <w:rsid w:val="00A77444"/>
    <w:rsid w:val="00A879AB"/>
    <w:rsid w:val="00A91F60"/>
    <w:rsid w:val="00A95F9A"/>
    <w:rsid w:val="00AB2A0B"/>
    <w:rsid w:val="00AC0C1C"/>
    <w:rsid w:val="00AC5A5F"/>
    <w:rsid w:val="00AD507D"/>
    <w:rsid w:val="00AE3115"/>
    <w:rsid w:val="00AE3140"/>
    <w:rsid w:val="00AE5AED"/>
    <w:rsid w:val="00AE6519"/>
    <w:rsid w:val="00AF6504"/>
    <w:rsid w:val="00B04EF8"/>
    <w:rsid w:val="00B202D6"/>
    <w:rsid w:val="00B20962"/>
    <w:rsid w:val="00B21B67"/>
    <w:rsid w:val="00B3079F"/>
    <w:rsid w:val="00B333DC"/>
    <w:rsid w:val="00B34717"/>
    <w:rsid w:val="00B35823"/>
    <w:rsid w:val="00B36768"/>
    <w:rsid w:val="00B4171B"/>
    <w:rsid w:val="00B4179C"/>
    <w:rsid w:val="00B43608"/>
    <w:rsid w:val="00B512C6"/>
    <w:rsid w:val="00B518C1"/>
    <w:rsid w:val="00B54AAB"/>
    <w:rsid w:val="00B64014"/>
    <w:rsid w:val="00B64C91"/>
    <w:rsid w:val="00B674C0"/>
    <w:rsid w:val="00B722BD"/>
    <w:rsid w:val="00B8254D"/>
    <w:rsid w:val="00B82EA8"/>
    <w:rsid w:val="00B84AED"/>
    <w:rsid w:val="00B93A8B"/>
    <w:rsid w:val="00BA0755"/>
    <w:rsid w:val="00BB4AAB"/>
    <w:rsid w:val="00BC0EA4"/>
    <w:rsid w:val="00BC56C5"/>
    <w:rsid w:val="00BD2E6C"/>
    <w:rsid w:val="00BD66E3"/>
    <w:rsid w:val="00BD7538"/>
    <w:rsid w:val="00BE1150"/>
    <w:rsid w:val="00BE37A9"/>
    <w:rsid w:val="00BF418F"/>
    <w:rsid w:val="00C170C6"/>
    <w:rsid w:val="00C27D8D"/>
    <w:rsid w:val="00C501A9"/>
    <w:rsid w:val="00C51BDC"/>
    <w:rsid w:val="00C57E13"/>
    <w:rsid w:val="00C604B2"/>
    <w:rsid w:val="00C633EB"/>
    <w:rsid w:val="00C65105"/>
    <w:rsid w:val="00C71E60"/>
    <w:rsid w:val="00C72819"/>
    <w:rsid w:val="00C735F5"/>
    <w:rsid w:val="00C74475"/>
    <w:rsid w:val="00C77FE7"/>
    <w:rsid w:val="00C814A6"/>
    <w:rsid w:val="00C85F91"/>
    <w:rsid w:val="00C8663A"/>
    <w:rsid w:val="00C87252"/>
    <w:rsid w:val="00C918D9"/>
    <w:rsid w:val="00C92A87"/>
    <w:rsid w:val="00C94D6F"/>
    <w:rsid w:val="00C95F05"/>
    <w:rsid w:val="00CA010D"/>
    <w:rsid w:val="00CA044E"/>
    <w:rsid w:val="00CA77A9"/>
    <w:rsid w:val="00CB2B36"/>
    <w:rsid w:val="00CC2F95"/>
    <w:rsid w:val="00CC3889"/>
    <w:rsid w:val="00CC458B"/>
    <w:rsid w:val="00CC473E"/>
    <w:rsid w:val="00CC7BD9"/>
    <w:rsid w:val="00CE03B3"/>
    <w:rsid w:val="00CE3D04"/>
    <w:rsid w:val="00CE4D5D"/>
    <w:rsid w:val="00CF1929"/>
    <w:rsid w:val="00CF2A07"/>
    <w:rsid w:val="00CF7ABF"/>
    <w:rsid w:val="00D0512E"/>
    <w:rsid w:val="00D074FE"/>
    <w:rsid w:val="00D10F91"/>
    <w:rsid w:val="00D1516A"/>
    <w:rsid w:val="00D2367C"/>
    <w:rsid w:val="00D26776"/>
    <w:rsid w:val="00D32957"/>
    <w:rsid w:val="00D36926"/>
    <w:rsid w:val="00D44909"/>
    <w:rsid w:val="00D47B34"/>
    <w:rsid w:val="00D72DE6"/>
    <w:rsid w:val="00D73A1D"/>
    <w:rsid w:val="00D76300"/>
    <w:rsid w:val="00D90591"/>
    <w:rsid w:val="00D9467A"/>
    <w:rsid w:val="00D94C91"/>
    <w:rsid w:val="00D957AD"/>
    <w:rsid w:val="00D96E61"/>
    <w:rsid w:val="00DB663D"/>
    <w:rsid w:val="00DD4062"/>
    <w:rsid w:val="00DD75F0"/>
    <w:rsid w:val="00DE2C50"/>
    <w:rsid w:val="00DE477D"/>
    <w:rsid w:val="00DE63C1"/>
    <w:rsid w:val="00DF3D3A"/>
    <w:rsid w:val="00E13314"/>
    <w:rsid w:val="00E169D2"/>
    <w:rsid w:val="00E20E09"/>
    <w:rsid w:val="00E27640"/>
    <w:rsid w:val="00E362A4"/>
    <w:rsid w:val="00E44D62"/>
    <w:rsid w:val="00E532BC"/>
    <w:rsid w:val="00E622BB"/>
    <w:rsid w:val="00E644F4"/>
    <w:rsid w:val="00E660A3"/>
    <w:rsid w:val="00E77E85"/>
    <w:rsid w:val="00E83437"/>
    <w:rsid w:val="00E83930"/>
    <w:rsid w:val="00E8424C"/>
    <w:rsid w:val="00E844AF"/>
    <w:rsid w:val="00E874E3"/>
    <w:rsid w:val="00E9231D"/>
    <w:rsid w:val="00E94CF8"/>
    <w:rsid w:val="00E964C2"/>
    <w:rsid w:val="00EA60FE"/>
    <w:rsid w:val="00EA626F"/>
    <w:rsid w:val="00EB1CCA"/>
    <w:rsid w:val="00EB6D6E"/>
    <w:rsid w:val="00EC666B"/>
    <w:rsid w:val="00EC6C25"/>
    <w:rsid w:val="00EE772F"/>
    <w:rsid w:val="00EF0209"/>
    <w:rsid w:val="00EF4597"/>
    <w:rsid w:val="00F013C1"/>
    <w:rsid w:val="00F02557"/>
    <w:rsid w:val="00F078AD"/>
    <w:rsid w:val="00F121C6"/>
    <w:rsid w:val="00F14AD1"/>
    <w:rsid w:val="00F14B79"/>
    <w:rsid w:val="00F17329"/>
    <w:rsid w:val="00F27851"/>
    <w:rsid w:val="00F27E26"/>
    <w:rsid w:val="00F305FE"/>
    <w:rsid w:val="00F40AD6"/>
    <w:rsid w:val="00F4425C"/>
    <w:rsid w:val="00F56F7A"/>
    <w:rsid w:val="00F634F5"/>
    <w:rsid w:val="00F70716"/>
    <w:rsid w:val="00F73B15"/>
    <w:rsid w:val="00F76633"/>
    <w:rsid w:val="00F76F55"/>
    <w:rsid w:val="00F83081"/>
    <w:rsid w:val="00F85F66"/>
    <w:rsid w:val="00FB02FD"/>
    <w:rsid w:val="00FB2D92"/>
    <w:rsid w:val="00FB3951"/>
    <w:rsid w:val="00FB5A51"/>
    <w:rsid w:val="00FC09B5"/>
    <w:rsid w:val="00FC2C2C"/>
    <w:rsid w:val="00FD0F55"/>
    <w:rsid w:val="00FD61F3"/>
    <w:rsid w:val="00FD68C7"/>
    <w:rsid w:val="00FE0438"/>
    <w:rsid w:val="00FE2D94"/>
    <w:rsid w:val="00FE7C0D"/>
    <w:rsid w:val="00FF1BAB"/>
    <w:rsid w:val="00FF4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021D9"/>
  <w15:docId w15:val="{BF9B7F7B-769B-49A1-8782-F96F0971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D04"/>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EC8"/>
    <w:rPr>
      <w:sz w:val="22"/>
      <w:szCs w:val="22"/>
    </w:rPr>
  </w:style>
  <w:style w:type="paragraph" w:styleId="ListParagraph">
    <w:name w:val="List Paragraph"/>
    <w:basedOn w:val="Normal"/>
    <w:uiPriority w:val="34"/>
    <w:qFormat/>
    <w:rsid w:val="003840D6"/>
    <w:pPr>
      <w:ind w:left="720"/>
      <w:contextualSpacing/>
    </w:pPr>
  </w:style>
  <w:style w:type="character" w:styleId="Hyperlink">
    <w:name w:val="Hyperlink"/>
    <w:uiPriority w:val="99"/>
    <w:unhideWhenUsed/>
    <w:rsid w:val="001756B5"/>
    <w:rPr>
      <w:color w:val="0000FF"/>
      <w:u w:val="single"/>
    </w:rPr>
  </w:style>
  <w:style w:type="paragraph" w:styleId="Header">
    <w:name w:val="header"/>
    <w:basedOn w:val="Normal"/>
    <w:link w:val="HeaderChar"/>
    <w:uiPriority w:val="99"/>
    <w:unhideWhenUsed/>
    <w:rsid w:val="00D72DE6"/>
    <w:pPr>
      <w:tabs>
        <w:tab w:val="center" w:pos="4680"/>
        <w:tab w:val="right" w:pos="9360"/>
      </w:tabs>
    </w:pPr>
  </w:style>
  <w:style w:type="character" w:customStyle="1" w:styleId="HeaderChar">
    <w:name w:val="Header Char"/>
    <w:basedOn w:val="DefaultParagraphFont"/>
    <w:link w:val="Header"/>
    <w:uiPriority w:val="99"/>
    <w:rsid w:val="00D72DE6"/>
  </w:style>
  <w:style w:type="paragraph" w:styleId="Footer">
    <w:name w:val="footer"/>
    <w:basedOn w:val="Normal"/>
    <w:link w:val="FooterChar"/>
    <w:uiPriority w:val="99"/>
    <w:unhideWhenUsed/>
    <w:rsid w:val="00D72DE6"/>
    <w:pPr>
      <w:tabs>
        <w:tab w:val="center" w:pos="4680"/>
        <w:tab w:val="right" w:pos="9360"/>
      </w:tabs>
    </w:pPr>
  </w:style>
  <w:style w:type="character" w:customStyle="1" w:styleId="FooterChar">
    <w:name w:val="Footer Char"/>
    <w:basedOn w:val="DefaultParagraphFont"/>
    <w:link w:val="Footer"/>
    <w:uiPriority w:val="99"/>
    <w:rsid w:val="00D72DE6"/>
  </w:style>
  <w:style w:type="paragraph" w:styleId="Revision">
    <w:name w:val="Revision"/>
    <w:hidden/>
    <w:uiPriority w:val="99"/>
    <w:semiHidden/>
    <w:rsid w:val="00C170C6"/>
    <w:rPr>
      <w:sz w:val="22"/>
      <w:szCs w:val="22"/>
    </w:rPr>
  </w:style>
  <w:style w:type="paragraph" w:styleId="BalloonText">
    <w:name w:val="Balloon Text"/>
    <w:basedOn w:val="Normal"/>
    <w:link w:val="BalloonTextChar"/>
    <w:uiPriority w:val="99"/>
    <w:semiHidden/>
    <w:unhideWhenUsed/>
    <w:rsid w:val="00C170C6"/>
    <w:rPr>
      <w:rFonts w:ascii="Tahoma" w:hAnsi="Tahoma" w:cs="Tahoma"/>
      <w:sz w:val="16"/>
      <w:szCs w:val="16"/>
    </w:rPr>
  </w:style>
  <w:style w:type="character" w:customStyle="1" w:styleId="BalloonTextChar">
    <w:name w:val="Balloon Text Char"/>
    <w:link w:val="BalloonText"/>
    <w:uiPriority w:val="99"/>
    <w:semiHidden/>
    <w:rsid w:val="00C170C6"/>
    <w:rPr>
      <w:rFonts w:ascii="Tahoma" w:hAnsi="Tahoma" w:cs="Tahoma"/>
      <w:sz w:val="16"/>
      <w:szCs w:val="16"/>
    </w:rPr>
  </w:style>
  <w:style w:type="table" w:styleId="TableGrid">
    <w:name w:val="Table Grid"/>
    <w:basedOn w:val="TableNormal"/>
    <w:uiPriority w:val="59"/>
    <w:rsid w:val="00E133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6E752C"/>
    <w:rPr>
      <w:color w:val="954F72" w:themeColor="followedHyperlink"/>
      <w:u w:val="single"/>
    </w:rPr>
  </w:style>
  <w:style w:type="character" w:customStyle="1" w:styleId="UnresolvedMention1">
    <w:name w:val="Unresolved Mention1"/>
    <w:basedOn w:val="DefaultParagraphFont"/>
    <w:uiPriority w:val="99"/>
    <w:semiHidden/>
    <w:unhideWhenUsed/>
    <w:rsid w:val="00C72819"/>
    <w:rPr>
      <w:color w:val="605E5C"/>
      <w:shd w:val="clear" w:color="auto" w:fill="E1DFDD"/>
    </w:rPr>
  </w:style>
  <w:style w:type="character" w:styleId="CommentReference">
    <w:name w:val="annotation reference"/>
    <w:basedOn w:val="DefaultParagraphFont"/>
    <w:uiPriority w:val="99"/>
    <w:semiHidden/>
    <w:unhideWhenUsed/>
    <w:rsid w:val="00482C5B"/>
    <w:rPr>
      <w:sz w:val="16"/>
      <w:szCs w:val="16"/>
    </w:rPr>
  </w:style>
  <w:style w:type="paragraph" w:styleId="CommentText">
    <w:name w:val="annotation text"/>
    <w:basedOn w:val="Normal"/>
    <w:link w:val="CommentTextChar"/>
    <w:uiPriority w:val="99"/>
    <w:semiHidden/>
    <w:unhideWhenUsed/>
    <w:rsid w:val="00482C5B"/>
    <w:rPr>
      <w:sz w:val="20"/>
      <w:szCs w:val="20"/>
    </w:rPr>
  </w:style>
  <w:style w:type="character" w:customStyle="1" w:styleId="CommentTextChar">
    <w:name w:val="Comment Text Char"/>
    <w:basedOn w:val="DefaultParagraphFont"/>
    <w:link w:val="CommentText"/>
    <w:uiPriority w:val="99"/>
    <w:semiHidden/>
    <w:rsid w:val="00482C5B"/>
  </w:style>
  <w:style w:type="paragraph" w:styleId="CommentSubject">
    <w:name w:val="annotation subject"/>
    <w:basedOn w:val="CommentText"/>
    <w:next w:val="CommentText"/>
    <w:link w:val="CommentSubjectChar"/>
    <w:uiPriority w:val="99"/>
    <w:semiHidden/>
    <w:unhideWhenUsed/>
    <w:rsid w:val="00482C5B"/>
    <w:rPr>
      <w:b/>
      <w:bCs/>
    </w:rPr>
  </w:style>
  <w:style w:type="character" w:customStyle="1" w:styleId="CommentSubjectChar">
    <w:name w:val="Comment Subject Char"/>
    <w:basedOn w:val="CommentTextChar"/>
    <w:link w:val="CommentSubject"/>
    <w:uiPriority w:val="99"/>
    <w:semiHidden/>
    <w:rsid w:val="00482C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758284">
      <w:bodyDiv w:val="1"/>
      <w:marLeft w:val="0"/>
      <w:marRight w:val="0"/>
      <w:marTop w:val="0"/>
      <w:marBottom w:val="0"/>
      <w:divBdr>
        <w:top w:val="none" w:sz="0" w:space="0" w:color="auto"/>
        <w:left w:val="none" w:sz="0" w:space="0" w:color="auto"/>
        <w:bottom w:val="none" w:sz="0" w:space="0" w:color="auto"/>
        <w:right w:val="none" w:sz="0" w:space="0" w:color="auto"/>
      </w:divBdr>
    </w:div>
    <w:div w:id="1473331387">
      <w:bodyDiv w:val="1"/>
      <w:marLeft w:val="0"/>
      <w:marRight w:val="0"/>
      <w:marTop w:val="0"/>
      <w:marBottom w:val="0"/>
      <w:divBdr>
        <w:top w:val="none" w:sz="0" w:space="0" w:color="auto"/>
        <w:left w:val="none" w:sz="0" w:space="0" w:color="auto"/>
        <w:bottom w:val="none" w:sz="0" w:space="0" w:color="auto"/>
        <w:right w:val="none" w:sz="0" w:space="0" w:color="auto"/>
      </w:divBdr>
    </w:div>
    <w:div w:id="15182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3DAF4-7C58-414A-A493-5B5DC0AAE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2287</Words>
  <Characters>13041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15298</CharactersWithSpaces>
  <SharedDoc>false</SharedDoc>
  <HLinks>
    <vt:vector size="24" baseType="variant">
      <vt:variant>
        <vt:i4>91</vt:i4>
      </vt:variant>
      <vt:variant>
        <vt:i4>75</vt:i4>
      </vt:variant>
      <vt:variant>
        <vt:i4>0</vt:i4>
      </vt:variant>
      <vt:variant>
        <vt:i4>5</vt:i4>
      </vt:variant>
      <vt:variant>
        <vt:lpwstr>http://www.research.tcu.edu/</vt:lpwstr>
      </vt:variant>
      <vt:variant>
        <vt:lpwstr/>
      </vt:variant>
      <vt:variant>
        <vt:i4>91</vt:i4>
      </vt:variant>
      <vt:variant>
        <vt:i4>72</vt:i4>
      </vt:variant>
      <vt:variant>
        <vt:i4>0</vt:i4>
      </vt:variant>
      <vt:variant>
        <vt:i4>5</vt:i4>
      </vt:variant>
      <vt:variant>
        <vt:lpwstr>http://www.research.tcu.edu/</vt:lpwstr>
      </vt:variant>
      <vt:variant>
        <vt:lpwstr/>
      </vt:variant>
      <vt:variant>
        <vt:i4>65544</vt:i4>
      </vt:variant>
      <vt:variant>
        <vt:i4>3</vt:i4>
      </vt:variant>
      <vt:variant>
        <vt:i4>0</vt:i4>
      </vt:variant>
      <vt:variant>
        <vt:i4>5</vt:i4>
      </vt:variant>
      <vt:variant>
        <vt:lpwstr>mailto:https://research.tcu.edu/research-compliance/irb/</vt:lpwstr>
      </vt:variant>
      <vt:variant>
        <vt:lpwstr/>
      </vt:variant>
      <vt:variant>
        <vt:i4>1310761</vt:i4>
      </vt:variant>
      <vt:variant>
        <vt:i4>0</vt:i4>
      </vt:variant>
      <vt:variant>
        <vt:i4>0</vt:i4>
      </vt:variant>
      <vt:variant>
        <vt:i4>5</vt:i4>
      </vt:variant>
      <vt:variant>
        <vt:lpwstr>mailto:IRBSubmit@tcu.edu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George, Weldon</cp:lastModifiedBy>
  <cp:revision>4</cp:revision>
  <cp:lastPrinted>2008-12-17T20:28:00Z</cp:lastPrinted>
  <dcterms:created xsi:type="dcterms:W3CDTF">2023-06-14T23:31:00Z</dcterms:created>
  <dcterms:modified xsi:type="dcterms:W3CDTF">2023-06-20T14:25:00Z</dcterms:modified>
</cp:coreProperties>
</file>