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0" w:rsidRDefault="00F741A0">
      <w:pPr>
        <w:pStyle w:val="Heading1"/>
      </w:pPr>
      <w:r>
        <w:t>PI:</w:t>
      </w:r>
    </w:p>
    <w:p w:rsidR="00F741A0" w:rsidRDefault="00F741A0">
      <w:pPr>
        <w:pStyle w:val="Heading1"/>
      </w:pPr>
      <w:r>
        <w:t>Project Title:</w:t>
      </w:r>
    </w:p>
    <w:p w:rsidR="00F741A0" w:rsidRDefault="00F741A0">
      <w:pPr>
        <w:pStyle w:val="Heading1"/>
      </w:pPr>
    </w:p>
    <w:p w:rsidR="0008127D" w:rsidRDefault="0008127D">
      <w:pPr>
        <w:pStyle w:val="Heading1"/>
      </w:pPr>
      <w:r>
        <w:t>BUDGET JUSTIFICATION</w:t>
      </w:r>
    </w:p>
    <w:p w:rsidR="0008127D" w:rsidRDefault="0008127D">
      <w:pPr>
        <w:rPr>
          <w:b/>
          <w:bCs/>
        </w:rPr>
      </w:pPr>
    </w:p>
    <w:p w:rsidR="0008127D" w:rsidRDefault="0008127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Senior Personnel:</w:t>
      </w:r>
    </w:p>
    <w:p w:rsidR="0008127D" w:rsidRDefault="0008127D">
      <w:pPr>
        <w:pStyle w:val="BodyTextIndent"/>
      </w:pPr>
      <w:r>
        <w:t xml:space="preserve">Principal Investigator will administer and oversee the research project by ensuring that all activities are carried out efficiently in accordance with the research plan.  Summer salary of 2 months is requested for the PI.  Effort </w:t>
      </w:r>
      <w:r w:rsidR="005F2E26">
        <w:t>on this project will be as follows:</w:t>
      </w:r>
    </w:p>
    <w:p w:rsidR="005F2E26" w:rsidRDefault="005F2E26">
      <w:pPr>
        <w:pStyle w:val="BodyTextIndent"/>
      </w:pPr>
    </w:p>
    <w:p w:rsidR="007B1B78" w:rsidRPr="005F2E26" w:rsidRDefault="005F2E26" w:rsidP="005C2955">
      <w:pPr>
        <w:pStyle w:val="BodyTextIndent"/>
        <w:tabs>
          <w:tab w:val="left" w:leader="underscore" w:pos="1080"/>
          <w:tab w:val="left" w:pos="4500"/>
          <w:tab w:val="left" w:pos="5040"/>
        </w:tabs>
      </w:pPr>
      <w:r>
        <w:tab/>
        <w:t xml:space="preserve">% </w:t>
      </w:r>
      <w:r>
        <w:rPr>
          <w:u w:val="single"/>
        </w:rPr>
        <w:tab/>
      </w:r>
      <w:r w:rsidRPr="005F2E26">
        <w:t xml:space="preserve"> (PI)</w:t>
      </w:r>
      <w:r w:rsidR="007B1B78">
        <w:t xml:space="preserve"> __ % </w:t>
      </w:r>
      <w:r w:rsidR="007B1B78">
        <w:rPr>
          <w:u w:val="single"/>
        </w:rPr>
        <w:tab/>
      </w:r>
      <w:r w:rsidR="007B1B78">
        <w:rPr>
          <w:u w:val="single"/>
        </w:rPr>
        <w:tab/>
      </w:r>
      <w:r w:rsidR="007B1B78">
        <w:rPr>
          <w:u w:val="single"/>
        </w:rPr>
        <w:tab/>
      </w:r>
      <w:r w:rsidR="007B1B78">
        <w:rPr>
          <w:u w:val="single"/>
        </w:rPr>
        <w:tab/>
      </w:r>
      <w:r w:rsidR="007B1B78">
        <w:rPr>
          <w:u w:val="single"/>
        </w:rPr>
        <w:tab/>
      </w:r>
      <w:r w:rsidR="007B1B78" w:rsidRPr="005F2E26">
        <w:t xml:space="preserve"> (</w:t>
      </w:r>
      <w:r w:rsidR="007B1B78">
        <w:t>Co-</w:t>
      </w:r>
      <w:r w:rsidR="007B1B78" w:rsidRPr="005F2E26">
        <w:t>PI)</w:t>
      </w:r>
    </w:p>
    <w:p w:rsidR="005F2E26" w:rsidRPr="005F2E26" w:rsidRDefault="005F2E26" w:rsidP="005F2E26">
      <w:pPr>
        <w:pStyle w:val="BodyTextIndent"/>
        <w:tabs>
          <w:tab w:val="left" w:leader="underscore" w:pos="1080"/>
        </w:tabs>
      </w:pPr>
    </w:p>
    <w:p w:rsidR="005F2E26" w:rsidRDefault="005F2E26">
      <w:pPr>
        <w:ind w:left="720"/>
      </w:pPr>
    </w:p>
    <w:p w:rsidR="0008127D" w:rsidRDefault="0008127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Other Personnel:</w:t>
      </w:r>
    </w:p>
    <w:p w:rsidR="0008127D" w:rsidRDefault="00632CD6">
      <w:pPr>
        <w:pStyle w:val="BodyTextIndent2"/>
        <w:jc w:val="left"/>
      </w:pPr>
      <w:r>
        <w:t xml:space="preserve">A Post-doc </w:t>
      </w:r>
      <w:r w:rsidR="0008127D">
        <w:t>at 50% time for 12 months will act as Project Coordinator.  The Coordinator will manage the data collection and analysis conducted by the research staff.</w:t>
      </w:r>
    </w:p>
    <w:p w:rsidR="0008127D" w:rsidRDefault="0008127D">
      <w:pPr>
        <w:ind w:left="720"/>
        <w:rPr>
          <w:b/>
          <w:bCs/>
        </w:rPr>
      </w:pPr>
    </w:p>
    <w:p w:rsidR="0008127D" w:rsidRDefault="0008127D">
      <w:pPr>
        <w:pStyle w:val="BodyTextIndent2"/>
        <w:jc w:val="left"/>
      </w:pPr>
      <w:r>
        <w:t>A Research Associate at 100% time for 12 months will conduct the data collection and laboratory rat research.</w:t>
      </w:r>
    </w:p>
    <w:p w:rsidR="0008127D" w:rsidRDefault="0008127D">
      <w:pPr>
        <w:ind w:left="720"/>
      </w:pPr>
    </w:p>
    <w:p w:rsidR="0008127D" w:rsidRDefault="0008127D">
      <w:pPr>
        <w:ind w:left="720"/>
      </w:pPr>
      <w:r>
        <w:t>A Graduate Student Researcher at 50% time for 12 months will assist in the data collection and in the various research experiments.</w:t>
      </w:r>
    </w:p>
    <w:p w:rsidR="0008127D" w:rsidRDefault="0008127D">
      <w:pPr>
        <w:ind w:left="720"/>
        <w:jc w:val="both"/>
      </w:pPr>
    </w:p>
    <w:p w:rsidR="0008127D" w:rsidRDefault="0008127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Fringe Benefits:</w:t>
      </w:r>
    </w:p>
    <w:p w:rsidR="0008127D" w:rsidRDefault="0008127D">
      <w:pPr>
        <w:pStyle w:val="BodyTextIndent2"/>
        <w:jc w:val="left"/>
      </w:pPr>
      <w:r>
        <w:t xml:space="preserve">Fringe benefits are based on University guidelines </w:t>
      </w:r>
      <w:r w:rsidR="00632CD6">
        <w:t>and applies to only the PI (</w:t>
      </w:r>
      <w:proofErr w:type="gramStart"/>
      <w:r w:rsidR="00D22BFE">
        <w:t>37</w:t>
      </w:r>
      <w:r w:rsidR="00632CD6">
        <w:t>%</w:t>
      </w:r>
      <w:proofErr w:type="gramEnd"/>
      <w:r w:rsidR="00632CD6">
        <w:t>-$$)</w:t>
      </w:r>
      <w:r w:rsidR="00D22BFE">
        <w:t>,</w:t>
      </w:r>
      <w:r w:rsidR="00632CD6">
        <w:t xml:space="preserve"> the Post-doc (2</w:t>
      </w:r>
      <w:r w:rsidR="00D22BFE">
        <w:t>5</w:t>
      </w:r>
      <w:r w:rsidR="00632CD6">
        <w:t>%-$$)</w:t>
      </w:r>
      <w:r w:rsidR="00D22BFE">
        <w:t xml:space="preserve">, and </w:t>
      </w:r>
      <w:r w:rsidR="00D22BFE" w:rsidRPr="00D22BFE">
        <w:t>Part-time/Temporary/Adjunct Faculty</w:t>
      </w:r>
      <w:r w:rsidR="00D22BFE">
        <w:t xml:space="preserve"> (0</w:t>
      </w:r>
      <w:r w:rsidR="00CD5E7A">
        <w:t>765</w:t>
      </w:r>
      <w:bookmarkStart w:id="0" w:name="_GoBack"/>
      <w:bookmarkEnd w:id="0"/>
      <w:r w:rsidR="00D22BFE">
        <w:t>%-$$)</w:t>
      </w:r>
      <w:r>
        <w:t xml:space="preserve">. </w:t>
      </w:r>
      <w:r w:rsidR="00632CD6">
        <w:rPr>
          <w:color w:val="FF0000"/>
        </w:rPr>
        <w:t>Please note:  if you have been a faculty/staff for two-years or less your f/b rate is 2</w:t>
      </w:r>
      <w:r w:rsidR="00D22BFE">
        <w:rPr>
          <w:color w:val="FF0000"/>
        </w:rPr>
        <w:t>5</w:t>
      </w:r>
      <w:r w:rsidR="00632CD6">
        <w:rPr>
          <w:color w:val="FF0000"/>
        </w:rPr>
        <w:t xml:space="preserve">%; in your third year it is </w:t>
      </w:r>
      <w:r w:rsidR="00D22BFE">
        <w:rPr>
          <w:color w:val="FF0000"/>
        </w:rPr>
        <w:t>37</w:t>
      </w:r>
      <w:r w:rsidR="00632CD6">
        <w:rPr>
          <w:color w:val="FF0000"/>
        </w:rPr>
        <w:t>%; all post-docs are calculated at 2</w:t>
      </w:r>
      <w:r w:rsidR="00D22BFE">
        <w:rPr>
          <w:color w:val="FF0000"/>
        </w:rPr>
        <w:t>5</w:t>
      </w:r>
      <w:r w:rsidR="00632CD6">
        <w:rPr>
          <w:color w:val="FF0000"/>
        </w:rPr>
        <w:t>%.</w:t>
      </w:r>
      <w:r>
        <w:t xml:space="preserve"> </w:t>
      </w:r>
    </w:p>
    <w:p w:rsidR="0008127D" w:rsidRDefault="0008127D">
      <w:pPr>
        <w:ind w:left="720"/>
        <w:jc w:val="both"/>
      </w:pPr>
    </w:p>
    <w:p w:rsidR="0008127D" w:rsidRDefault="0008127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Equipment:</w:t>
      </w:r>
    </w:p>
    <w:p w:rsidR="0008127D" w:rsidRDefault="0008127D">
      <w:pPr>
        <w:pStyle w:val="BodyTextIndent2"/>
        <w:jc w:val="left"/>
      </w:pPr>
      <w:r>
        <w:t>A lab computer is requested in the first year of the grant.  This equipment will be used to analyze data collected from the research rats and the human subject participants.</w:t>
      </w:r>
    </w:p>
    <w:p w:rsidR="0008127D" w:rsidRDefault="0008127D">
      <w:pPr>
        <w:ind w:left="720"/>
        <w:jc w:val="both"/>
      </w:pPr>
    </w:p>
    <w:p w:rsidR="0008127D" w:rsidRDefault="0008127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Travel:</w:t>
      </w:r>
    </w:p>
    <w:p w:rsidR="0008127D" w:rsidRDefault="0008127D">
      <w:pPr>
        <w:pStyle w:val="BodyTextIndent2"/>
        <w:jc w:val="left"/>
      </w:pPr>
      <w:r>
        <w:t>Domestic travel funds are requested to enable the PI and the research staff to attend various scientific conferences.</w:t>
      </w:r>
    </w:p>
    <w:p w:rsidR="0008127D" w:rsidRDefault="0008127D">
      <w:pPr>
        <w:ind w:left="720"/>
        <w:jc w:val="both"/>
      </w:pPr>
    </w:p>
    <w:p w:rsidR="0008127D" w:rsidRDefault="0008127D" w:rsidP="00477D1D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Other Direct Costs:</w:t>
      </w:r>
    </w:p>
    <w:p w:rsidR="0008127D" w:rsidRDefault="0008127D">
      <w:pPr>
        <w:pStyle w:val="BodyTextIndent2"/>
        <w:jc w:val="left"/>
      </w:pPr>
      <w:r>
        <w:t>Material and Supplies:  These funds will be used to purchase good</w:t>
      </w:r>
      <w:r w:rsidR="00A6344E">
        <w:t>s</w:t>
      </w:r>
      <w:r>
        <w:t xml:space="preserve"> and services necessary to conduct the research including:  surgical supplies, chemicals, glassware, research rats, isotopes, plastic wares, computer/printer supplies, faxes and overnight delivery charges related to collaborating or requesting research data or information.</w:t>
      </w:r>
    </w:p>
    <w:p w:rsidR="0008127D" w:rsidRDefault="0008127D">
      <w:pPr>
        <w:ind w:left="720"/>
      </w:pPr>
    </w:p>
    <w:p w:rsidR="0008127D" w:rsidRDefault="0008127D">
      <w:pPr>
        <w:ind w:left="720"/>
      </w:pPr>
      <w:r>
        <w:t>Publication Costs:  Publication costs may include artwork, page charges, reprints, postage, and photocopying.  (Postage and photocopying are requested to fund duplication and mail</w:t>
      </w:r>
      <w:r w:rsidR="00A6344E">
        <w:t>ing</w:t>
      </w:r>
      <w:r>
        <w:t xml:space="preserve"> of reprints of grant publications and related research documents to requesters.)</w:t>
      </w:r>
    </w:p>
    <w:p w:rsidR="0008127D" w:rsidRDefault="0008127D">
      <w:pPr>
        <w:ind w:left="720"/>
      </w:pPr>
    </w:p>
    <w:p w:rsidR="0008127D" w:rsidRDefault="0008127D">
      <w:pPr>
        <w:ind w:left="720"/>
      </w:pPr>
      <w:r>
        <w:t>Subcontract:  Subcontract with University of Southern California will supply the complimentary data collected from their selective pool of human subject participants.  Their expense budget and justification are included.</w:t>
      </w:r>
    </w:p>
    <w:p w:rsidR="003C3CD6" w:rsidRDefault="003C3CD6">
      <w:pPr>
        <w:ind w:left="720"/>
      </w:pPr>
    </w:p>
    <w:p w:rsidR="003C3CD6" w:rsidRDefault="003C3CD6">
      <w:pPr>
        <w:ind w:left="720"/>
      </w:pPr>
      <w:r>
        <w:t xml:space="preserve">Tuition: Requested student tuition </w:t>
      </w:r>
    </w:p>
    <w:p w:rsidR="0008127D" w:rsidRDefault="0008127D">
      <w:pPr>
        <w:ind w:left="720"/>
      </w:pPr>
    </w:p>
    <w:p w:rsidR="0008127D" w:rsidRDefault="0008127D">
      <w:pPr>
        <w:ind w:left="720"/>
      </w:pPr>
      <w:r>
        <w:t xml:space="preserve">Other:  These funds will be used for rat care and per diem, human subject payments, equipment maintenance, </w:t>
      </w:r>
      <w:r w:rsidR="00477D1D">
        <w:t>&amp;</w:t>
      </w:r>
      <w:r>
        <w:t xml:space="preserve"> lab phone for subject scheduling and for collaborating with research colleagues.</w:t>
      </w:r>
    </w:p>
    <w:p w:rsidR="003C3CD6" w:rsidRDefault="003C3CD6">
      <w:pPr>
        <w:ind w:left="720"/>
      </w:pPr>
    </w:p>
    <w:p w:rsidR="003C3CD6" w:rsidRDefault="003C3CD6">
      <w:pPr>
        <w:ind w:left="720"/>
      </w:pPr>
      <w:r>
        <w:t xml:space="preserve">F&amp;A Costs: Per Texas Christian University’s (TCU’s) current federally negotiated rate </w:t>
      </w:r>
      <w:proofErr w:type="gramStart"/>
      <w:r>
        <w:t>agreement are</w:t>
      </w:r>
      <w:proofErr w:type="gramEnd"/>
      <w:r>
        <w:t xml:space="preserve"> </w:t>
      </w:r>
      <w:r w:rsidR="00477D1D">
        <w:t xml:space="preserve">fees </w:t>
      </w:r>
      <w:r>
        <w:t>associated with the proposed research project at the rate of ___ % of salaries and wages only.  The cognizant agency for TCU is the U.S. Department of Health and Human Services.  F&amp;A costs total, over the course of the grant, $ _____.</w:t>
      </w:r>
    </w:p>
    <w:p w:rsidR="00477D1D" w:rsidRDefault="00477D1D">
      <w:pPr>
        <w:jc w:val="both"/>
      </w:pPr>
    </w:p>
    <w:p w:rsidR="0008127D" w:rsidRDefault="0008127D">
      <w:pPr>
        <w:jc w:val="both"/>
      </w:pPr>
      <w:r>
        <w:t>Inflationary factor of 3%, if any, was used in Years 2 and 3.</w:t>
      </w:r>
    </w:p>
    <w:sectPr w:rsidR="0008127D" w:rsidSect="00F741A0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1C7"/>
    <w:multiLevelType w:val="hybridMultilevel"/>
    <w:tmpl w:val="A950D5C8"/>
    <w:lvl w:ilvl="0" w:tplc="C3C04D60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05983"/>
    <w:multiLevelType w:val="hybridMultilevel"/>
    <w:tmpl w:val="6CFECA88"/>
    <w:lvl w:ilvl="0" w:tplc="C3C04D6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503854"/>
    <w:multiLevelType w:val="hybridMultilevel"/>
    <w:tmpl w:val="4E6296FA"/>
    <w:lvl w:ilvl="0" w:tplc="C3C04D60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D62"/>
    <w:multiLevelType w:val="hybridMultilevel"/>
    <w:tmpl w:val="D4925F26"/>
    <w:lvl w:ilvl="0" w:tplc="6C1002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CE"/>
    <w:rsid w:val="0008127D"/>
    <w:rsid w:val="002A654C"/>
    <w:rsid w:val="00301C5C"/>
    <w:rsid w:val="003C3CD6"/>
    <w:rsid w:val="00477D1D"/>
    <w:rsid w:val="005C2955"/>
    <w:rsid w:val="005F2E26"/>
    <w:rsid w:val="00632CD6"/>
    <w:rsid w:val="006931CE"/>
    <w:rsid w:val="0072402A"/>
    <w:rsid w:val="007B1B78"/>
    <w:rsid w:val="008E35B6"/>
    <w:rsid w:val="00A6344E"/>
    <w:rsid w:val="00B926AE"/>
    <w:rsid w:val="00BF4EA8"/>
    <w:rsid w:val="00C81713"/>
    <w:rsid w:val="00CD5E7A"/>
    <w:rsid w:val="00D22BFE"/>
    <w:rsid w:val="00D23B1A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13"/>
    <w:rPr>
      <w:rFonts w:ascii="Arial" w:hAnsi="Arial"/>
    </w:rPr>
  </w:style>
  <w:style w:type="paragraph" w:styleId="Heading1">
    <w:name w:val="heading 1"/>
    <w:basedOn w:val="Normal"/>
    <w:next w:val="Normal"/>
    <w:qFormat/>
    <w:rsid w:val="00C8171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1713"/>
    <w:pPr>
      <w:ind w:left="720"/>
    </w:pPr>
  </w:style>
  <w:style w:type="paragraph" w:styleId="BodyTextIndent2">
    <w:name w:val="Body Text Indent 2"/>
    <w:basedOn w:val="Normal"/>
    <w:rsid w:val="00C81713"/>
    <w:pPr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13"/>
    <w:rPr>
      <w:rFonts w:ascii="Arial" w:hAnsi="Arial"/>
    </w:rPr>
  </w:style>
  <w:style w:type="paragraph" w:styleId="Heading1">
    <w:name w:val="heading 1"/>
    <w:basedOn w:val="Normal"/>
    <w:next w:val="Normal"/>
    <w:qFormat/>
    <w:rsid w:val="00C8171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1713"/>
    <w:pPr>
      <w:ind w:left="720"/>
    </w:pPr>
  </w:style>
  <w:style w:type="paragraph" w:styleId="BodyTextIndent2">
    <w:name w:val="Body Text Indent 2"/>
    <w:basedOn w:val="Normal"/>
    <w:rsid w:val="00C81713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UCLA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Kiyoko Koski</dc:creator>
  <cp:lastModifiedBy>Heidemann, Laurie</cp:lastModifiedBy>
  <cp:revision>2</cp:revision>
  <cp:lastPrinted>2011-04-27T16:27:00Z</cp:lastPrinted>
  <dcterms:created xsi:type="dcterms:W3CDTF">2015-03-06T18:55:00Z</dcterms:created>
  <dcterms:modified xsi:type="dcterms:W3CDTF">2015-03-06T18:55:00Z</dcterms:modified>
</cp:coreProperties>
</file>